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notes.xml" ContentType="application/vnd.openxmlformats-officedocument.wordprocessingml.footnote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hanging="0" w:left="4707" w:right="0"/>
        <w:jc w:val="both"/>
        <w:rPr>
          <w:sz w:val="28"/>
        </w:rPr>
      </w:pPr>
      <w:bookmarkStart w:id="0" w:name="_GoBack"/>
      <w:bookmarkEnd w:id="0"/>
      <w:r>
        <w:rPr>
          <w:sz w:val="28"/>
        </w:rPr>
        <w:t xml:space="preserve">Приложение 3 к приказу Министерства </w:t>
      </w:r>
    </w:p>
    <w:p>
      <w:pPr>
        <w:pStyle w:val="Normal"/>
        <w:ind w:hanging="0" w:left="4707" w:right="0"/>
        <w:jc w:val="both"/>
        <w:rPr>
          <w:sz w:val="28"/>
        </w:rPr>
      </w:pPr>
      <w:r>
        <w:rPr>
          <w:sz w:val="28"/>
        </w:rPr>
        <w:t>образования Камчатского края</w:t>
      </w:r>
    </w:p>
    <w:tbl>
      <w:tblPr>
        <w:tblStyle w:val="Style_2"/>
        <w:tblW w:w="5061" w:type="dxa"/>
        <w:jc w:val="left"/>
        <w:tblInd w:w="4591" w:type="dxa"/>
        <w:tblLayout w:type="fixed"/>
        <w:tblCellMar>
          <w:top w:w="55" w:type="dxa"/>
          <w:left w:w="108" w:type="dxa"/>
          <w:bottom w:w="55" w:type="dxa"/>
          <w:right w:w="108" w:type="dxa"/>
        </w:tblCellMar>
      </w:tblPr>
      <w:tblGrid>
        <w:gridCol w:w="875"/>
        <w:gridCol w:w="1875"/>
        <w:gridCol w:w="500"/>
        <w:gridCol w:w="1811"/>
      </w:tblGrid>
      <w:tr>
        <w:trPr/>
        <w:tc>
          <w:tcPr>
            <w:tcW w:w="875" w:type="dxa"/>
            <w:tcBorders/>
          </w:tcPr>
          <w:p>
            <w:pPr>
              <w:pStyle w:val="Normal"/>
              <w:widowControl/>
              <w:bidi w:val="0"/>
              <w:spacing w:lineRule="auto" w:line="240" w:before="0" w:after="60"/>
              <w:ind w:hanging="0" w:left="0" w:right="0"/>
              <w:jc w:val="left"/>
              <w:rPr>
                <w:rFonts w:ascii="Times New Roman" w:hAnsi="Times New Roman"/>
                <w:sz w:val="28"/>
              </w:rPr>
            </w:pPr>
            <w:r>
              <w:rPr>
                <w:color w:val="000000"/>
                <w:spacing w:val="0"/>
                <w:kern w:val="0"/>
                <w:sz w:val="28"/>
                <w:szCs w:val="20"/>
              </w:rPr>
              <w:t>от</w:t>
            </w:r>
          </w:p>
        </w:tc>
        <w:tc>
          <w:tcPr>
            <w:tcW w:w="1875" w:type="dxa"/>
            <w:tcBorders/>
          </w:tcPr>
          <w:p>
            <w:pPr>
              <w:pStyle w:val="Normal"/>
              <w:widowControl/>
              <w:spacing w:lineRule="auto" w:line="240" w:before="0" w:after="60"/>
              <w:ind w:hanging="0" w:left="0" w:right="0"/>
              <w:jc w:val="right"/>
              <w:rPr>
                <w:rFonts w:ascii="Times New Roman" w:hAnsi="Times New Roman"/>
                <w:color w:themeColor="background1" w:val="FFFFFF"/>
                <w:sz w:val="28"/>
              </w:rPr>
            </w:pPr>
            <w:r>
              <w:rPr>
                <w:color w:themeColor="background1" w:val="FFFFFF"/>
                <w:spacing w:val="0"/>
                <w:kern w:val="0"/>
                <w:sz w:val="28"/>
                <w:szCs w:val="20"/>
              </w:rPr>
              <w:t>[R</w:t>
            </w:r>
            <w:r>
              <w:rPr>
                <w:color w:themeColor="background1" w:val="FFFFFF"/>
                <w:spacing w:val="0"/>
                <w:kern w:val="0"/>
                <w:sz w:val="16"/>
                <w:szCs w:val="20"/>
              </w:rPr>
              <w:t>EGDATESTAMP]</w:t>
            </w:r>
          </w:p>
        </w:tc>
        <w:tc>
          <w:tcPr>
            <w:tcW w:w="500" w:type="dxa"/>
            <w:tcBorders/>
          </w:tcPr>
          <w:p>
            <w:pPr>
              <w:pStyle w:val="Normal"/>
              <w:widowControl/>
              <w:spacing w:lineRule="auto" w:line="240" w:before="0" w:after="60"/>
              <w:ind w:hanging="0" w:left="0" w:right="0"/>
              <w:jc w:val="right"/>
              <w:rPr>
                <w:rFonts w:ascii="Times New Roman" w:hAnsi="Times New Roman"/>
                <w:sz w:val="28"/>
              </w:rPr>
            </w:pPr>
            <w:r>
              <w:rPr>
                <w:color w:val="000000"/>
                <w:spacing w:val="0"/>
                <w:kern w:val="0"/>
                <w:sz w:val="28"/>
                <w:szCs w:val="20"/>
              </w:rPr>
              <w:t>№</w:t>
            </w:r>
          </w:p>
        </w:tc>
        <w:tc>
          <w:tcPr>
            <w:tcW w:w="1811" w:type="dxa"/>
            <w:tcBorders/>
          </w:tcPr>
          <w:p>
            <w:pPr>
              <w:pStyle w:val="Normal"/>
              <w:widowControl/>
              <w:spacing w:lineRule="auto" w:line="240" w:before="0" w:after="60"/>
              <w:ind w:hanging="0" w:left="0" w:right="0"/>
              <w:jc w:val="right"/>
              <w:rPr>
                <w:rFonts w:ascii="Times New Roman" w:hAnsi="Times New Roman"/>
                <w:color w:themeColor="background1" w:val="FFFFFF"/>
                <w:sz w:val="28"/>
              </w:rPr>
            </w:pPr>
            <w:r>
              <w:rPr>
                <w:color w:themeColor="background1" w:val="FFFFFF"/>
                <w:spacing w:val="0"/>
                <w:kern w:val="0"/>
                <w:sz w:val="28"/>
                <w:szCs w:val="20"/>
              </w:rPr>
              <w:t>[R</w:t>
            </w:r>
            <w:r>
              <w:rPr>
                <w:color w:themeColor="background1" w:val="FFFFFF"/>
                <w:spacing w:val="0"/>
                <w:kern w:val="0"/>
                <w:sz w:val="16"/>
                <w:szCs w:val="20"/>
              </w:rPr>
              <w:t>EGNUMSTAMP]</w:t>
            </w:r>
          </w:p>
        </w:tc>
      </w:tr>
    </w:tbl>
    <w:p>
      <w:pPr>
        <w:pStyle w:val="Normal"/>
        <w:ind w:hanging="0" w:left="4707" w:right="0"/>
        <w:jc w:val="both"/>
        <w:rPr>
          <w:sz w:val="28"/>
        </w:rPr>
      </w:pPr>
      <w:r>
        <w:rPr>
          <w:sz w:val="28"/>
        </w:rPr>
      </w:r>
    </w:p>
    <w:p>
      <w:pPr>
        <w:pStyle w:val="Normal"/>
        <w:ind w:hanging="0" w:left="0" w:right="-143"/>
        <w:jc w:val="center"/>
        <w:rPr>
          <w:b/>
          <w:sz w:val="28"/>
        </w:rPr>
      </w:pPr>
      <w:r>
        <w:rPr>
          <w:b/>
          <w:sz w:val="28"/>
        </w:rPr>
        <w:t xml:space="preserve">Инструкция </w:t>
      </w:r>
    </w:p>
    <w:p>
      <w:pPr>
        <w:pStyle w:val="Normal"/>
        <w:ind w:hanging="0" w:left="0" w:right="-143"/>
        <w:jc w:val="center"/>
        <w:rPr>
          <w:b/>
          <w:sz w:val="28"/>
        </w:rPr>
      </w:pPr>
      <w:r>
        <w:rPr>
          <w:b/>
          <w:sz w:val="28"/>
        </w:rPr>
        <w:t>по организации и проведению государственной итоговой аттестации по образовательным программам основного общего образования для лиц с ограниченными возможностями здоровья, детей-инвалидов и инвалидов в Камчатском крае в 2026 году</w:t>
      </w:r>
    </w:p>
    <w:p>
      <w:pPr>
        <w:pStyle w:val="Normal"/>
        <w:ind w:hanging="0" w:left="0" w:right="-143"/>
        <w:jc w:val="both"/>
        <w:rPr>
          <w:sz w:val="28"/>
        </w:rPr>
      </w:pPr>
      <w:r>
        <w:rPr>
          <w:sz w:val="28"/>
        </w:rPr>
      </w:r>
    </w:p>
    <w:p>
      <w:pPr>
        <w:pStyle w:val="Normal"/>
        <w:jc w:val="center"/>
        <w:rPr/>
      </w:pPr>
      <w:r>
        <w:rPr>
          <w:rFonts w:ascii="Times New Roman" w:hAnsi="Times New Roman"/>
          <w:sz w:val="28"/>
        </w:rPr>
        <w:t>Содержание</w:t>
      </w:r>
    </w:p>
    <w:p>
      <w:pPr>
        <w:pStyle w:val="Normal"/>
        <w:jc w:val="center"/>
        <w:rPr>
          <w:rFonts w:ascii="Times New Roman" w:hAnsi="Times New Roman"/>
          <w:sz w:val="28"/>
        </w:rPr>
      </w:pPr>
      <w:r>
        <w:rPr>
          <w:rFonts w:ascii="Times New Roman" w:hAnsi="Times New Roman"/>
          <w:sz w:val="28"/>
        </w:rPr>
      </w:r>
    </w:p>
    <w:sdt>
      <w:sdtPr>
        <w:docPartObj>
          <w:docPartGallery w:val="Table of Contents"/>
          <w:docPartUnique w:val="true"/>
        </w:docPartObj>
      </w:sdtPr>
      <w:sdtContent>
        <w:p>
          <w:pPr>
            <w:pStyle w:val="TOC1"/>
            <w:tabs>
              <w:tab w:val="clear" w:pos="708"/>
              <w:tab w:val="right" w:pos="10205" w:leader="dot"/>
            </w:tabs>
            <w:rPr/>
          </w:pPr>
          <w:r>
            <w:fldChar w:fldCharType="begin"/>
          </w:r>
          <w:r>
            <w:rPr>
              <w:webHidden/>
              <w:rStyle w:val="Style13"/>
            </w:rPr>
            <w:instrText xml:space="preserve"> TOC \z \o "1-3" \u \h</w:instrText>
          </w:r>
          <w:r>
            <w:rPr>
              <w:webHidden/>
              <w:rStyle w:val="Style13"/>
            </w:rPr>
            <w:fldChar w:fldCharType="separate"/>
          </w:r>
          <w:hyperlink w:anchor="__RefHeading___20">
            <w:r>
              <w:rPr>
                <w:webHidden/>
                <w:rStyle w:val="Style13"/>
              </w:rPr>
              <w:t>Перечень условных обозначений и сокращений</w:t>
              <w:tab/>
              <w:t>108</w:t>
            </w:r>
          </w:hyperlink>
        </w:p>
        <w:p>
          <w:pPr>
            <w:pStyle w:val="TOC1"/>
            <w:tabs>
              <w:tab w:val="clear" w:pos="708"/>
              <w:tab w:val="right" w:pos="10205" w:leader="dot"/>
            </w:tabs>
            <w:rPr/>
          </w:pPr>
          <w:hyperlink w:anchor="__RefHeading___2">
            <w:r>
              <w:rPr>
                <w:webHidden/>
                <w:rStyle w:val="Style13"/>
              </w:rPr>
              <w:t>1. Особенности подготовки ППЭ и аудиторий к проведению ГИА</w:t>
              <w:tab/>
              <w:t>110</w:t>
            </w:r>
          </w:hyperlink>
        </w:p>
        <w:p>
          <w:pPr>
            <w:pStyle w:val="TOC1"/>
            <w:tabs>
              <w:tab w:val="clear" w:pos="708"/>
              <w:tab w:val="right" w:pos="10205" w:leader="dot"/>
            </w:tabs>
            <w:rPr/>
          </w:pPr>
          <w:hyperlink w:anchor="__RefHeading___3">
            <w:r>
              <w:rPr>
                <w:webHidden/>
                <w:rStyle w:val="Style13"/>
              </w:rPr>
              <w:t>2. Ассистенты</w:t>
              <w:tab/>
              <w:t>113</w:t>
            </w:r>
          </w:hyperlink>
        </w:p>
        <w:p>
          <w:pPr>
            <w:pStyle w:val="TOC1"/>
            <w:tabs>
              <w:tab w:val="clear" w:pos="708"/>
              <w:tab w:val="right" w:pos="10205" w:leader="dot"/>
            </w:tabs>
            <w:rPr/>
          </w:pPr>
          <w:hyperlink w:anchor="__RefHeading___4">
            <w:r>
              <w:rPr>
                <w:webHidden/>
                <w:rStyle w:val="Style13"/>
              </w:rPr>
              <w:t>3. Особенности проведения ГИА</w:t>
              <w:tab/>
              <w:t>115</w:t>
            </w:r>
          </w:hyperlink>
        </w:p>
        <w:p>
          <w:pPr>
            <w:pStyle w:val="TOC2"/>
            <w:tabs>
              <w:tab w:val="clear" w:pos="708"/>
              <w:tab w:val="right" w:pos="10205" w:leader="dot"/>
            </w:tabs>
            <w:rPr/>
          </w:pPr>
          <w:hyperlink w:anchor="__RefHeading___5">
            <w:r>
              <w:rPr>
                <w:webHidden/>
                <w:rStyle w:val="Style13"/>
              </w:rPr>
              <w:t>3.1. Подготовительный этап: организационно - технологические мероприятия, проводимые в ППЭ</w:t>
              <w:tab/>
              <w:t>115</w:t>
            </w:r>
          </w:hyperlink>
        </w:p>
        <w:p>
          <w:pPr>
            <w:pStyle w:val="TOC2"/>
            <w:tabs>
              <w:tab w:val="clear" w:pos="708"/>
              <w:tab w:val="right" w:pos="10205" w:leader="dot"/>
            </w:tabs>
            <w:rPr/>
          </w:pPr>
          <w:hyperlink w:anchor="__RefHeading___6">
            <w:r>
              <w:rPr>
                <w:webHidden/>
                <w:rStyle w:val="Style13"/>
              </w:rPr>
              <w:t>3.2. Начало проведения экзамена в аудитории</w:t>
              <w:tab/>
              <w:t>118</w:t>
            </w:r>
          </w:hyperlink>
        </w:p>
        <w:p>
          <w:pPr>
            <w:pStyle w:val="TOC2"/>
            <w:tabs>
              <w:tab w:val="clear" w:pos="708"/>
              <w:tab w:val="right" w:pos="10205" w:leader="dot"/>
            </w:tabs>
            <w:rPr/>
          </w:pPr>
          <w:hyperlink w:anchor="__RefHeading___7">
            <w:r>
              <w:rPr>
                <w:webHidden/>
                <w:rStyle w:val="Style13"/>
              </w:rPr>
              <w:t>3.3. Проведение экзамена в аудитории</w:t>
              <w:tab/>
              <w:t>118</w:t>
            </w:r>
          </w:hyperlink>
        </w:p>
        <w:p>
          <w:pPr>
            <w:pStyle w:val="TOC2"/>
            <w:tabs>
              <w:tab w:val="clear" w:pos="708"/>
              <w:tab w:val="right" w:pos="10205" w:leader="dot"/>
            </w:tabs>
            <w:rPr/>
          </w:pPr>
          <w:hyperlink w:anchor="__RefHeading___8">
            <w:r>
              <w:rPr>
                <w:webHidden/>
                <w:rStyle w:val="Style13"/>
              </w:rPr>
              <w:t>3.4. Завершение выполнения ЭР участниками экзаменов</w:t>
              <w:tab/>
              <w:t>119</w:t>
            </w:r>
          </w:hyperlink>
        </w:p>
        <w:p>
          <w:pPr>
            <w:pStyle w:val="TOC2"/>
            <w:tabs>
              <w:tab w:val="clear" w:pos="708"/>
              <w:tab w:val="right" w:pos="10205" w:leader="dot"/>
            </w:tabs>
            <w:rPr/>
          </w:pPr>
          <w:hyperlink w:anchor="__RefHeading___9">
            <w:r>
              <w:rPr>
                <w:webHidden/>
                <w:rStyle w:val="Style13"/>
              </w:rPr>
              <w:t>4. Передача материалов экзамена руководителю ППЭ после проведения экзамена</w:t>
              <w:tab/>
              <w:t>121</w:t>
            </w:r>
          </w:hyperlink>
        </w:p>
        <w:p>
          <w:pPr>
            <w:pStyle w:val="TOC1"/>
            <w:tabs>
              <w:tab w:val="clear" w:pos="708"/>
              <w:tab w:val="right" w:pos="10205" w:leader="dot"/>
            </w:tabs>
            <w:rPr/>
          </w:pPr>
          <w:hyperlink w:anchor="__RefHeading___10">
            <w:r>
              <w:rPr>
                <w:webHidden/>
                <w:rStyle w:val="Style13"/>
              </w:rPr>
              <w:t>Приложение 1. Положение о Комиссии тифлопереводчиков</w:t>
              <w:tab/>
              <w:t>123</w:t>
            </w:r>
          </w:hyperlink>
        </w:p>
        <w:p>
          <w:pPr>
            <w:pStyle w:val="TOC1"/>
            <w:tabs>
              <w:tab w:val="clear" w:pos="708"/>
              <w:tab w:val="right" w:pos="10205" w:leader="dot"/>
            </w:tabs>
            <w:rPr/>
          </w:pPr>
          <w:hyperlink w:anchor="__RefHeading___11">
            <w:r>
              <w:rPr>
                <w:webHidden/>
                <w:rStyle w:val="Style13"/>
              </w:rPr>
              <w:t>Приложение 2. Памятка для ассистентов слепых, поздноослепших и слабовидящих участников экзаменов по заполнению шрифтом Брайля специальных тетрадей для записи ответов</w:t>
              <w:tab/>
              <w:t>127</w:t>
            </w:r>
          </w:hyperlink>
        </w:p>
        <w:p>
          <w:pPr>
            <w:pStyle w:val="TOC1"/>
            <w:tabs>
              <w:tab w:val="clear" w:pos="708"/>
              <w:tab w:val="right" w:pos="10205" w:leader="dot"/>
            </w:tabs>
            <w:rPr/>
          </w:pPr>
          <w:hyperlink w:anchor="__RefHeading___12">
            <w:r>
              <w:rPr>
                <w:webHidden/>
                <w:rStyle w:val="Style13"/>
              </w:rPr>
              <w:t>Приложение 3. Памятка для организатора в аудитории для слепых, поздноослепших и слабовидящих участников экзаменов, выполняющих работу шрифтом Брайля</w:t>
              <w:tab/>
              <w:t>128</w:t>
            </w:r>
          </w:hyperlink>
        </w:p>
        <w:p>
          <w:pPr>
            <w:pStyle w:val="TOC1"/>
            <w:tabs>
              <w:tab w:val="clear" w:pos="708"/>
              <w:tab w:val="right" w:pos="10205" w:leader="dot"/>
            </w:tabs>
            <w:rPr/>
          </w:pPr>
          <w:hyperlink w:anchor="__RefHeading___13">
            <w:r>
              <w:rPr>
                <w:webHidden/>
                <w:rStyle w:val="Style13"/>
              </w:rPr>
              <w:t>Приложение 4. Памятка для организатора в аудитории для слабовидящих участников экзамена</w:t>
              <w:tab/>
              <w:t>130</w:t>
            </w:r>
          </w:hyperlink>
        </w:p>
        <w:p>
          <w:pPr>
            <w:pStyle w:val="TOC1"/>
            <w:tabs>
              <w:tab w:val="clear" w:pos="708"/>
              <w:tab w:val="right" w:pos="10205" w:leader="dot"/>
            </w:tabs>
            <w:rPr/>
          </w:pPr>
          <w:hyperlink w:anchor="__RefHeading___14">
            <w:r>
              <w:rPr>
                <w:webHidden/>
                <w:rStyle w:val="Style13"/>
              </w:rPr>
              <w:t>Приложение 5. Памятка для руководителя ППЭ</w:t>
              <w:tab/>
              <w:t>131</w:t>
            </w:r>
          </w:hyperlink>
        </w:p>
        <w:p>
          <w:pPr>
            <w:pStyle w:val="TOC1"/>
            <w:tabs>
              <w:tab w:val="clear" w:pos="708"/>
              <w:tab w:val="right" w:pos="10205" w:leader="dot"/>
            </w:tabs>
            <w:rPr/>
          </w:pPr>
          <w:hyperlink w:anchor="__RefHeading___15">
            <w:r>
              <w:rPr>
                <w:webHidden/>
                <w:rStyle w:val="Style13"/>
              </w:rPr>
              <w:t>Приложение 6. Памятка для члена ГЭК</w:t>
              <w:tab/>
              <w:t>133</w:t>
            </w:r>
          </w:hyperlink>
        </w:p>
        <w:p>
          <w:pPr>
            <w:pStyle w:val="TOC1"/>
            <w:tabs>
              <w:tab w:val="clear" w:pos="708"/>
              <w:tab w:val="right" w:pos="10205" w:leader="dot"/>
            </w:tabs>
            <w:rPr/>
          </w:pPr>
          <w:hyperlink w:anchor="__RefHeading___16">
            <w:r>
              <w:rPr>
                <w:webHidden/>
                <w:rStyle w:val="Style13"/>
              </w:rPr>
              <w:t>Приложение 7. Инструкция для слепых, поздноослепших и слабовидящих участников экзаменов, зачитываемая организатором в аудитории перед началом экзамена с использованием ЭМ, изготовленных шрифтом Брайля</w:t>
              <w:tab/>
              <w:t>134</w:t>
            </w:r>
          </w:hyperlink>
          <w:r>
            <w:rPr>
              <w:rStyle w:val="Style13"/>
            </w:rPr>
            <w:fldChar w:fldCharType="end"/>
          </w:r>
        </w:p>
      </w:sdtContent>
    </w:sdt>
    <w:p>
      <w:pPr>
        <w:pStyle w:val="Normal"/>
        <w:widowControl/>
        <w:bidi w:val="0"/>
        <w:spacing w:lineRule="auto" w:line="240" w:before="0" w:after="0"/>
        <w:ind w:hanging="0" w:left="0" w:right="0"/>
        <w:jc w:val="left"/>
        <w:rPr/>
      </w:pPr>
      <w:r>
        <w:rPr/>
      </w:r>
    </w:p>
    <w:p>
      <w:pPr>
        <w:pStyle w:val="Normal"/>
        <w:numPr>
          <w:ilvl w:val="0"/>
          <w:numId w:val="0"/>
        </w:numPr>
        <w:spacing w:before="0" w:after="240"/>
        <w:ind w:firstLine="709" w:left="0" w:right="0"/>
        <w:jc w:val="center"/>
        <w:outlineLvl w:val="0"/>
        <w:rPr>
          <w:rFonts w:ascii="Times New Roman" w:hAnsi="Times New Roman"/>
          <w:sz w:val="28"/>
        </w:rPr>
      </w:pPr>
      <w:r>
        <w:rPr>
          <w:rFonts w:ascii="Times New Roman" w:hAnsi="Times New Roman"/>
          <w:sz w:val="28"/>
        </w:rPr>
      </w:r>
    </w:p>
    <w:p>
      <w:pPr>
        <w:pStyle w:val="Normal"/>
        <w:numPr>
          <w:ilvl w:val="0"/>
          <w:numId w:val="0"/>
        </w:numPr>
        <w:spacing w:before="0" w:after="240"/>
        <w:ind w:firstLine="709" w:left="0" w:right="0"/>
        <w:jc w:val="center"/>
        <w:outlineLvl w:val="0"/>
        <w:rPr>
          <w:rFonts w:ascii="Times New Roman" w:hAnsi="Times New Roman"/>
          <w:sz w:val="28"/>
        </w:rPr>
      </w:pPr>
      <w:r>
        <w:rPr>
          <w:rFonts w:ascii="Times New Roman" w:hAnsi="Times New Roman"/>
          <w:sz w:val="28"/>
        </w:rPr>
      </w:r>
    </w:p>
    <w:p>
      <w:pPr>
        <w:pStyle w:val="Normal"/>
        <w:numPr>
          <w:ilvl w:val="0"/>
          <w:numId w:val="0"/>
        </w:numPr>
        <w:spacing w:before="0" w:after="240"/>
        <w:ind w:firstLine="709" w:left="0" w:right="0"/>
        <w:jc w:val="center"/>
        <w:outlineLvl w:val="0"/>
        <w:rPr>
          <w:rFonts w:ascii="Times New Roman" w:hAnsi="Times New Roman"/>
          <w:sz w:val="28"/>
        </w:rPr>
      </w:pPr>
      <w:r>
        <w:rPr>
          <w:rFonts w:ascii="Times New Roman" w:hAnsi="Times New Roman"/>
          <w:sz w:val="28"/>
        </w:rPr>
      </w:r>
      <w:r>
        <w:br w:type="page"/>
      </w:r>
    </w:p>
    <w:p>
      <w:pPr>
        <w:pStyle w:val="Normal"/>
        <w:numPr>
          <w:ilvl w:val="0"/>
          <w:numId w:val="0"/>
        </w:numPr>
        <w:spacing w:before="0" w:after="240"/>
        <w:ind w:firstLine="709" w:left="0" w:right="0"/>
        <w:jc w:val="center"/>
        <w:outlineLvl w:val="0"/>
        <w:rPr>
          <w:rFonts w:ascii="Times New Roman" w:hAnsi="Times New Roman"/>
        </w:rPr>
      </w:pPr>
      <w:bookmarkStart w:id="1" w:name="__RefHeading___20"/>
      <w:bookmarkEnd w:id="1"/>
      <w:r>
        <w:rPr>
          <w:rFonts w:ascii="Times New Roman" w:hAnsi="Times New Roman"/>
          <w:b/>
          <w:sz w:val="28"/>
        </w:rPr>
        <w:t>Перечень условных обозначений и сокращений</w:t>
      </w:r>
    </w:p>
    <w:tbl>
      <w:tblPr>
        <w:tblStyle w:val="Style_2"/>
        <w:tblW w:w="10205" w:type="dxa"/>
        <w:jc w:val="left"/>
        <w:tblInd w:w="0" w:type="dxa"/>
        <w:tblLayout w:type="fixed"/>
        <w:tblCellMar>
          <w:top w:w="0" w:type="dxa"/>
          <w:left w:w="10" w:type="dxa"/>
          <w:bottom w:w="0" w:type="dxa"/>
          <w:right w:w="10" w:type="dxa"/>
        </w:tblCellMar>
      </w:tblPr>
      <w:tblGrid>
        <w:gridCol w:w="2997"/>
        <w:gridCol w:w="7207"/>
      </w:tblGrid>
      <w:tr>
        <w:trPr>
          <w:trHeight w:val="525" w:hRule="exact"/>
        </w:trPr>
        <w:tc>
          <w:tcPr>
            <w:tcW w:w="2997" w:type="dxa"/>
            <w:tcBorders>
              <w:top w:val="single" w:sz="4" w:space="0" w:color="000000"/>
              <w:left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АК</w:t>
            </w:r>
          </w:p>
        </w:tc>
        <w:tc>
          <w:tcPr>
            <w:tcW w:w="7207" w:type="dxa"/>
            <w:tcBorders>
              <w:top w:val="single" w:sz="4" w:space="0" w:color="000000"/>
              <w:left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Апелляционная комиссия Камчатского края</w:t>
            </w:r>
          </w:p>
        </w:tc>
      </w:tr>
      <w:tr>
        <w:trPr>
          <w:trHeight w:val="482" w:hRule="exact"/>
        </w:trPr>
        <w:tc>
          <w:tcPr>
            <w:tcW w:w="2997" w:type="dxa"/>
            <w:tcBorders>
              <w:top w:val="single" w:sz="4" w:space="0" w:color="000000"/>
              <w:left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Бланки ответов</w:t>
            </w:r>
          </w:p>
        </w:tc>
        <w:tc>
          <w:tcPr>
            <w:tcW w:w="7207" w:type="dxa"/>
            <w:tcBorders>
              <w:top w:val="single" w:sz="4" w:space="0" w:color="000000"/>
              <w:left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Бланки для записи ответов</w:t>
            </w:r>
          </w:p>
        </w:tc>
      </w:tr>
      <w:tr>
        <w:trPr>
          <w:trHeight w:val="355" w:hRule="exact"/>
        </w:trPr>
        <w:tc>
          <w:tcPr>
            <w:tcW w:w="2997" w:type="dxa"/>
            <w:tcBorders>
              <w:top w:val="single" w:sz="4" w:space="0" w:color="000000"/>
              <w:left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ГВЭ</w:t>
            </w:r>
          </w:p>
        </w:tc>
        <w:tc>
          <w:tcPr>
            <w:tcW w:w="7207" w:type="dxa"/>
            <w:tcBorders>
              <w:top w:val="single" w:sz="4" w:space="0" w:color="000000"/>
              <w:left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Государственный выпускной экзамен</w:t>
            </w:r>
          </w:p>
        </w:tc>
      </w:tr>
      <w:tr>
        <w:trPr>
          <w:trHeight w:val="753" w:hRule="exact"/>
        </w:trPr>
        <w:tc>
          <w:tcPr>
            <w:tcW w:w="2997" w:type="dxa"/>
            <w:tcBorders>
              <w:top w:val="single" w:sz="4" w:space="0" w:color="000000"/>
              <w:left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ГИА</w:t>
            </w:r>
          </w:p>
        </w:tc>
        <w:tc>
          <w:tcPr>
            <w:tcW w:w="7207" w:type="dxa"/>
            <w:tcBorders>
              <w:top w:val="single" w:sz="4" w:space="0" w:color="000000"/>
              <w:left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Государственная итоговая аттестация по образовательным программам основного общего образования</w:t>
            </w:r>
          </w:p>
        </w:tc>
      </w:tr>
      <w:tr>
        <w:trPr>
          <w:trHeight w:val="1426" w:hRule="exact"/>
        </w:trPr>
        <w:tc>
          <w:tcPr>
            <w:tcW w:w="2997" w:type="dxa"/>
            <w:tcBorders>
              <w:top w:val="single" w:sz="4" w:space="0" w:color="000000"/>
              <w:left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ГЭК</w:t>
            </w:r>
          </w:p>
        </w:tc>
        <w:tc>
          <w:tcPr>
            <w:tcW w:w="7207" w:type="dxa"/>
            <w:tcBorders>
              <w:top w:val="single" w:sz="4" w:space="0" w:color="000000"/>
              <w:left w:val="single" w:sz="4" w:space="0" w:color="000000"/>
              <w:right w:val="single" w:sz="4" w:space="0" w:color="000000"/>
            </w:tcBorders>
            <w:shd w:fill="FFFFFF" w:val="clear"/>
            <w:vAlign w:val="center"/>
          </w:tcPr>
          <w:p>
            <w:pPr>
              <w:pStyle w:val="Normal"/>
              <w:widowControl w:val="false"/>
              <w:tabs>
                <w:tab w:val="clear" w:pos="708"/>
                <w:tab w:val="left" w:pos="2352" w:leader="none"/>
                <w:tab w:val="left" w:pos="4752" w:leader="none"/>
                <w:tab w:val="left" w:pos="6283" w:leader="none"/>
              </w:tabs>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Государственная экзаменационная комиссия Камчатского края по проведению государственной итоговой аттестации по образовательным программам основного общего образования</w:t>
            </w:r>
          </w:p>
        </w:tc>
      </w:tr>
      <w:tr>
        <w:trPr>
          <w:trHeight w:val="557" w:hRule="exact"/>
        </w:trPr>
        <w:tc>
          <w:tcPr>
            <w:tcW w:w="2997" w:type="dxa"/>
            <w:tcBorders>
              <w:top w:val="single" w:sz="4" w:space="0" w:color="000000"/>
              <w:left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ДБО</w:t>
            </w:r>
          </w:p>
        </w:tc>
        <w:tc>
          <w:tcPr>
            <w:tcW w:w="7207" w:type="dxa"/>
            <w:tcBorders>
              <w:top w:val="single" w:sz="4" w:space="0" w:color="000000"/>
              <w:left w:val="single" w:sz="4" w:space="0" w:color="000000"/>
              <w:right w:val="single" w:sz="4" w:space="0" w:color="000000"/>
            </w:tcBorders>
            <w:shd w:fill="FFFFFF" w:val="clear"/>
            <w:vAlign w:val="center"/>
          </w:tcPr>
          <w:p>
            <w:pPr>
              <w:pStyle w:val="Normal"/>
              <w:widowControl w:val="false"/>
              <w:tabs>
                <w:tab w:val="clear" w:pos="708"/>
                <w:tab w:val="left" w:pos="2352" w:leader="none"/>
                <w:tab w:val="left" w:pos="4752" w:leader="none"/>
                <w:tab w:val="left" w:pos="6283" w:leader="none"/>
              </w:tabs>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дополнительные бланки для записи ответов</w:t>
            </w:r>
          </w:p>
        </w:tc>
      </w:tr>
      <w:tr>
        <w:trPr>
          <w:trHeight w:val="533" w:hRule="exact"/>
        </w:trPr>
        <w:tc>
          <w:tcPr>
            <w:tcW w:w="2997" w:type="dxa"/>
            <w:tcBorders>
              <w:top w:val="single" w:sz="4" w:space="0" w:color="000000"/>
              <w:left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ИК</w:t>
            </w:r>
          </w:p>
        </w:tc>
        <w:tc>
          <w:tcPr>
            <w:tcW w:w="7207" w:type="dxa"/>
            <w:tcBorders>
              <w:top w:val="single" w:sz="4" w:space="0" w:color="000000"/>
              <w:left w:val="single" w:sz="4" w:space="0" w:color="000000"/>
              <w:right w:val="single" w:sz="4" w:space="0" w:color="000000"/>
            </w:tcBorders>
            <w:shd w:fill="FFFFFF" w:val="clear"/>
            <w:vAlign w:val="center"/>
          </w:tcPr>
          <w:p>
            <w:pPr>
              <w:pStyle w:val="Normal"/>
              <w:widowControl w:val="false"/>
              <w:tabs>
                <w:tab w:val="clear" w:pos="708"/>
                <w:tab w:val="left" w:pos="2352" w:leader="none"/>
                <w:tab w:val="left" w:pos="4752" w:leader="none"/>
                <w:tab w:val="left" w:pos="6283" w:leader="none"/>
              </w:tabs>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Индивидуальный комплект ЭМ</w:t>
            </w:r>
          </w:p>
        </w:tc>
      </w:tr>
      <w:tr>
        <w:trPr>
          <w:trHeight w:val="1665" w:hRule="exact"/>
        </w:trPr>
        <w:tc>
          <w:tcPr>
            <w:tcW w:w="2997" w:type="dxa"/>
            <w:tcBorders>
              <w:top w:val="single" w:sz="4" w:space="0" w:color="000000"/>
              <w:left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Инструкция</w:t>
            </w:r>
          </w:p>
        </w:tc>
        <w:tc>
          <w:tcPr>
            <w:tcW w:w="7207" w:type="dxa"/>
            <w:tcBorders>
              <w:top w:val="single" w:sz="4" w:space="0" w:color="000000"/>
              <w:left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Инструкция по организации и проведению государственной итоговой аттестации по образовательным программам основного общего образования для лиц с ограниченными возможностями здоровья, детей-инвалидов и инвалидов в 2026 году</w:t>
            </w:r>
          </w:p>
        </w:tc>
      </w:tr>
      <w:tr>
        <w:trPr>
          <w:trHeight w:val="788" w:hRule="exact"/>
        </w:trPr>
        <w:tc>
          <w:tcPr>
            <w:tcW w:w="2997" w:type="dxa"/>
            <w:tcBorders>
              <w:top w:val="single" w:sz="4" w:space="0" w:color="000000"/>
              <w:left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КИМ</w:t>
            </w:r>
          </w:p>
        </w:tc>
        <w:tc>
          <w:tcPr>
            <w:tcW w:w="7207" w:type="dxa"/>
            <w:tcBorders>
              <w:top w:val="single" w:sz="4" w:space="0" w:color="000000"/>
              <w:left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Контрольные измерительные материалы,  представляющие собой комплексы заданий стандартизированной формы</w:t>
            </w:r>
          </w:p>
        </w:tc>
      </w:tr>
      <w:tr>
        <w:trPr>
          <w:trHeight w:val="847" w:hRule="exact"/>
        </w:trPr>
        <w:tc>
          <w:tcPr>
            <w:tcW w:w="2997" w:type="dxa"/>
            <w:tcBorders>
              <w:top w:val="single" w:sz="4" w:space="0" w:color="000000"/>
              <w:left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КОГЭ</w:t>
            </w:r>
          </w:p>
        </w:tc>
        <w:tc>
          <w:tcPr>
            <w:tcW w:w="7207" w:type="dxa"/>
            <w:tcBorders>
              <w:top w:val="single" w:sz="4" w:space="0" w:color="000000"/>
              <w:left w:val="single" w:sz="4" w:space="0" w:color="000000"/>
              <w:right w:val="single" w:sz="4" w:space="0" w:color="000000"/>
            </w:tcBorders>
            <w:shd w:fill="FFFFFF" w:val="clear"/>
            <w:vAlign w:val="center"/>
          </w:tcPr>
          <w:p>
            <w:pPr>
              <w:pStyle w:val="Normal"/>
              <w:widowControl/>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ОГЭ по учебному предмету «Информатика» в компьютерной форме</w:t>
            </w:r>
          </w:p>
        </w:tc>
      </w:tr>
      <w:tr>
        <w:trPr>
          <w:trHeight w:val="465" w:hRule="exact"/>
        </w:trPr>
        <w:tc>
          <w:tcPr>
            <w:tcW w:w="2997" w:type="dxa"/>
            <w:tcBorders>
              <w:top w:val="single" w:sz="4" w:space="0" w:color="000000"/>
              <w:left w:val="single" w:sz="4" w:space="0" w:color="000000"/>
              <w:bottom w:val="single" w:sz="4" w:space="0" w:color="000000"/>
            </w:tcBorders>
            <w:shd w:fill="FFFFFF" w:val="clear"/>
            <w:vAlign w:val="center"/>
          </w:tcPr>
          <w:p>
            <w:pPr>
              <w:pStyle w:val="Normal"/>
              <w:widowControl/>
              <w:spacing w:lineRule="auto" w:line="240" w:before="5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Министерство</w:t>
            </w:r>
          </w:p>
        </w:tc>
        <w:tc>
          <w:tcPr>
            <w:tcW w:w="720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bidi w:val="0"/>
              <w:spacing w:lineRule="auto" w:line="240" w:before="5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Министерство образования Камчатского края</w:t>
            </w:r>
          </w:p>
        </w:tc>
      </w:tr>
      <w:tr>
        <w:trPr>
          <w:trHeight w:val="1354" w:hRule="exact"/>
        </w:trPr>
        <w:tc>
          <w:tcPr>
            <w:tcW w:w="2997" w:type="dxa"/>
            <w:tcBorders>
              <w:top w:val="single" w:sz="4" w:space="0" w:color="000000"/>
              <w:left w:val="single" w:sz="4" w:space="0" w:color="000000"/>
              <w:bottom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Образовательная организация</w:t>
            </w:r>
          </w:p>
        </w:tc>
        <w:tc>
          <w:tcPr>
            <w:tcW w:w="720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Организация, осуществляющая образовательную деятельность по имеющим государственную аккредитацию образовательным программам основного общего образования и среднего общего образования</w:t>
            </w:r>
          </w:p>
        </w:tc>
      </w:tr>
      <w:tr>
        <w:trPr>
          <w:trHeight w:val="435" w:hRule="exact"/>
        </w:trPr>
        <w:tc>
          <w:tcPr>
            <w:tcW w:w="2997" w:type="dxa"/>
            <w:tcBorders>
              <w:top w:val="single" w:sz="4" w:space="0" w:color="000000"/>
              <w:left w:val="single" w:sz="4" w:space="0" w:color="000000"/>
              <w:bottom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ОВЗ</w:t>
            </w:r>
          </w:p>
        </w:tc>
        <w:tc>
          <w:tcPr>
            <w:tcW w:w="720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Ограниченные возможности здоровья</w:t>
            </w:r>
          </w:p>
        </w:tc>
      </w:tr>
      <w:tr>
        <w:trPr>
          <w:trHeight w:val="422" w:hRule="exact"/>
        </w:trPr>
        <w:tc>
          <w:tcPr>
            <w:tcW w:w="2997" w:type="dxa"/>
            <w:tcBorders>
              <w:top w:val="single" w:sz="4" w:space="0" w:color="000000"/>
              <w:left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ОГЭ</w:t>
            </w:r>
          </w:p>
        </w:tc>
        <w:tc>
          <w:tcPr>
            <w:tcW w:w="7207" w:type="dxa"/>
            <w:tcBorders>
              <w:top w:val="single" w:sz="4" w:space="0" w:color="000000"/>
              <w:left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Основной государственный экзамен</w:t>
            </w:r>
          </w:p>
        </w:tc>
      </w:tr>
      <w:tr>
        <w:trPr>
          <w:trHeight w:val="422" w:hRule="exact"/>
        </w:trPr>
        <w:tc>
          <w:tcPr>
            <w:tcW w:w="2997" w:type="dxa"/>
            <w:tcBorders>
              <w:top w:val="single" w:sz="4" w:space="0" w:color="000000"/>
              <w:left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ПО</w:t>
            </w:r>
          </w:p>
        </w:tc>
        <w:tc>
          <w:tcPr>
            <w:tcW w:w="7207" w:type="dxa"/>
            <w:tcBorders>
              <w:top w:val="single" w:sz="4" w:space="0" w:color="000000"/>
              <w:left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Программное обеспечение</w:t>
            </w:r>
          </w:p>
        </w:tc>
      </w:tr>
      <w:tr>
        <w:trPr>
          <w:trHeight w:val="1342" w:hRule="exact"/>
        </w:trPr>
        <w:tc>
          <w:tcPr>
            <w:tcW w:w="2997" w:type="dxa"/>
            <w:tcBorders>
              <w:top w:val="single" w:sz="4" w:space="0" w:color="000000"/>
              <w:left w:val="single" w:sz="4" w:space="0" w:color="000000"/>
              <w:bottom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Порядок</w:t>
            </w:r>
          </w:p>
        </w:tc>
        <w:tc>
          <w:tcPr>
            <w:tcW w:w="720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tabs>
                <w:tab w:val="clear" w:pos="708"/>
                <w:tab w:val="left" w:pos="2242" w:leader="none"/>
                <w:tab w:val="left" w:pos="3898" w:leader="none"/>
                <w:tab w:val="left" w:pos="6490" w:leader="none"/>
              </w:tabs>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Порядок проведения государственной итоговой аттестации по образовательным программам основного общего образования, утвержденный приказом Минпросвещения России и Рособрнадзора от 4 апреля 2023 г. № 232/551</w:t>
            </w:r>
          </w:p>
        </w:tc>
      </w:tr>
      <w:tr>
        <w:trPr>
          <w:trHeight w:val="429" w:hRule="exact"/>
        </w:trPr>
        <w:tc>
          <w:tcPr>
            <w:tcW w:w="2997" w:type="dxa"/>
            <w:tcBorders>
              <w:top w:val="single" w:sz="4" w:space="0" w:color="000000"/>
              <w:left w:val="single" w:sz="4" w:space="0" w:color="000000"/>
              <w:bottom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ППЭ</w:t>
            </w:r>
          </w:p>
        </w:tc>
        <w:tc>
          <w:tcPr>
            <w:tcW w:w="720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Пункт проведения экзаменов</w:t>
            </w:r>
          </w:p>
        </w:tc>
      </w:tr>
      <w:tr>
        <w:trPr>
          <w:trHeight w:val="465" w:hRule="exact"/>
        </w:trPr>
        <w:tc>
          <w:tcPr>
            <w:tcW w:w="2997" w:type="dxa"/>
            <w:tcBorders>
              <w:top w:val="single" w:sz="4" w:space="0" w:color="000000"/>
              <w:left w:val="single" w:sz="4" w:space="0" w:color="000000"/>
              <w:bottom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ПМПК</w:t>
            </w:r>
          </w:p>
        </w:tc>
        <w:tc>
          <w:tcPr>
            <w:tcW w:w="720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Психолого-медико-педагогическая комиссия</w:t>
            </w:r>
          </w:p>
        </w:tc>
      </w:tr>
      <w:tr>
        <w:trPr>
          <w:trHeight w:val="1200" w:hRule="exact"/>
        </w:trPr>
        <w:tc>
          <w:tcPr>
            <w:tcW w:w="2997" w:type="dxa"/>
            <w:tcBorders>
              <w:top w:val="single" w:sz="4" w:space="0" w:color="000000"/>
              <w:left w:val="single" w:sz="4" w:space="0" w:color="000000"/>
              <w:bottom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РИС</w:t>
            </w:r>
          </w:p>
        </w:tc>
        <w:tc>
          <w:tcPr>
            <w:tcW w:w="720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Региональная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r>
      <w:tr>
        <w:trPr>
          <w:trHeight w:val="722" w:hRule="exact"/>
        </w:trPr>
        <w:tc>
          <w:tcPr>
            <w:tcW w:w="2997" w:type="dxa"/>
            <w:tcBorders>
              <w:top w:val="single" w:sz="4" w:space="0" w:color="000000"/>
              <w:left w:val="single" w:sz="4" w:space="0" w:color="000000"/>
              <w:bottom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Рекомендации ПМПК</w:t>
            </w:r>
          </w:p>
        </w:tc>
        <w:tc>
          <w:tcPr>
            <w:tcW w:w="720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tabs>
                <w:tab w:val="clear" w:pos="708"/>
                <w:tab w:val="center" w:pos="1615" w:leader="none"/>
                <w:tab w:val="center" w:pos="2863" w:leader="none"/>
                <w:tab w:val="center" w:pos="4360" w:leader="none"/>
                <w:tab w:val="center" w:pos="5748" w:leader="none"/>
                <w:tab w:val="right" w:pos="7403" w:leader="none"/>
              </w:tabs>
              <w:bidi w:val="0"/>
              <w:spacing w:lineRule="auto" w:line="240" w:before="0" w:after="3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 xml:space="preserve">Оригинал или надлежащим образом </w:t>
              <w:tab/>
              <w:t>заверенная копия рекомендаций ПМПК</w:t>
            </w:r>
          </w:p>
        </w:tc>
      </w:tr>
      <w:tr>
        <w:trPr>
          <w:trHeight w:val="969" w:hRule="exact"/>
        </w:trPr>
        <w:tc>
          <w:tcPr>
            <w:tcW w:w="2997" w:type="dxa"/>
            <w:tcBorders>
              <w:top w:val="single" w:sz="4" w:space="0" w:color="000000"/>
              <w:left w:val="single" w:sz="4" w:space="0" w:color="000000"/>
              <w:bottom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РЦОИ</w:t>
            </w:r>
          </w:p>
        </w:tc>
        <w:tc>
          <w:tcPr>
            <w:tcW w:w="720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КГАУ «Камчатский центр информатизации и оценки качества образования», выполняющий функции регионального центра обработки информации</w:t>
            </w:r>
          </w:p>
        </w:tc>
      </w:tr>
      <w:tr>
        <w:trPr>
          <w:trHeight w:val="456" w:hRule="exact"/>
        </w:trPr>
        <w:tc>
          <w:tcPr>
            <w:tcW w:w="2997" w:type="dxa"/>
            <w:tcBorders>
              <w:top w:val="single" w:sz="4" w:space="0" w:color="000000"/>
              <w:left w:val="single" w:sz="4" w:space="0" w:color="000000"/>
              <w:bottom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Сеть «Интернет»</w:t>
            </w:r>
          </w:p>
        </w:tc>
        <w:tc>
          <w:tcPr>
            <w:tcW w:w="720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Информационно-телекоммуникационная сеть «Интернет»</w:t>
            </w:r>
          </w:p>
        </w:tc>
      </w:tr>
      <w:tr>
        <w:trPr>
          <w:trHeight w:val="1203" w:hRule="exact"/>
        </w:trPr>
        <w:tc>
          <w:tcPr>
            <w:tcW w:w="2997" w:type="dxa"/>
            <w:tcBorders>
              <w:top w:val="single" w:sz="4" w:space="0" w:color="000000"/>
              <w:left w:val="single" w:sz="4" w:space="0" w:color="000000"/>
              <w:bottom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Справка, подтверждающая инвалидность</w:t>
            </w:r>
          </w:p>
        </w:tc>
        <w:tc>
          <w:tcPr>
            <w:tcW w:w="720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Оригинал или надлежащим образом заверенная копия справки, подтверждающей факт установления инвалидности, выданная федеральным государственным учреждением медико-социальной экспертизы</w:t>
            </w:r>
          </w:p>
        </w:tc>
      </w:tr>
      <w:tr>
        <w:trPr>
          <w:trHeight w:val="600" w:hRule="exact"/>
        </w:trPr>
        <w:tc>
          <w:tcPr>
            <w:tcW w:w="2997" w:type="dxa"/>
            <w:tcBorders>
              <w:top w:val="single" w:sz="4" w:space="0" w:color="000000"/>
              <w:left w:val="single" w:sz="4" w:space="0" w:color="000000"/>
              <w:bottom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Участники экзамена</w:t>
            </w:r>
          </w:p>
        </w:tc>
        <w:tc>
          <w:tcPr>
            <w:tcW w:w="720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Участники ГИА с ОВЗ, участники ГИА – дети-инвалиды и инвалиды</w:t>
            </w:r>
          </w:p>
        </w:tc>
      </w:tr>
      <w:tr>
        <w:trPr>
          <w:trHeight w:val="800" w:hRule="exact"/>
        </w:trPr>
        <w:tc>
          <w:tcPr>
            <w:tcW w:w="2997" w:type="dxa"/>
            <w:tcBorders>
              <w:top w:val="single" w:sz="4" w:space="0" w:color="000000"/>
              <w:left w:val="single" w:sz="4" w:space="0" w:color="000000"/>
              <w:bottom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Черновики</w:t>
            </w:r>
          </w:p>
        </w:tc>
        <w:tc>
          <w:tcPr>
            <w:tcW w:w="720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Листы бумаги для черновиков,  выданные в ППЭ, со штампом образовательной организации, на базе которой организован ППЭ</w:t>
            </w:r>
          </w:p>
        </w:tc>
      </w:tr>
      <w:tr>
        <w:trPr>
          <w:trHeight w:val="750" w:hRule="exact"/>
        </w:trPr>
        <w:tc>
          <w:tcPr>
            <w:tcW w:w="2997" w:type="dxa"/>
            <w:tcBorders>
              <w:top w:val="single" w:sz="4" w:space="0" w:color="000000"/>
              <w:left w:val="single" w:sz="4" w:space="0" w:color="000000"/>
              <w:bottom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Шрифт Брайля</w:t>
            </w:r>
          </w:p>
        </w:tc>
        <w:tc>
          <w:tcPr>
            <w:tcW w:w="720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Рельефно-точечный тактильный шрифт, предназначенный для письма и чтения слепыми и слабовидящими участниками экзамена</w:t>
            </w:r>
          </w:p>
        </w:tc>
      </w:tr>
      <w:tr>
        <w:trPr>
          <w:trHeight w:val="417" w:hRule="exact"/>
        </w:trPr>
        <w:tc>
          <w:tcPr>
            <w:tcW w:w="2997" w:type="dxa"/>
            <w:tcBorders>
              <w:top w:val="single" w:sz="4" w:space="0" w:color="000000"/>
              <w:left w:val="single" w:sz="4" w:space="0" w:color="000000"/>
              <w:bottom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ЭМ</w:t>
            </w:r>
          </w:p>
        </w:tc>
        <w:tc>
          <w:tcPr>
            <w:tcW w:w="720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Бланки регистрации, бланки ответов, ДБО и КИМ</w:t>
            </w:r>
          </w:p>
        </w:tc>
      </w:tr>
      <w:tr>
        <w:trPr>
          <w:trHeight w:val="410" w:hRule="exact"/>
        </w:trPr>
        <w:tc>
          <w:tcPr>
            <w:tcW w:w="2997" w:type="dxa"/>
            <w:tcBorders>
              <w:top w:val="single" w:sz="4" w:space="0" w:color="000000"/>
              <w:left w:val="single" w:sz="4" w:space="0" w:color="000000"/>
              <w:bottom w:val="single" w:sz="4" w:space="0" w:color="000000"/>
            </w:tcBorders>
            <w:shd w:fill="FFFFFF" w:val="clear"/>
            <w:vAlign w:val="center"/>
          </w:tcPr>
          <w:p>
            <w:pPr>
              <w:pStyle w:val="Normal"/>
              <w:widowControl w:val="false"/>
              <w:spacing w:lineRule="auto" w:line="240" w:before="0" w:after="0"/>
              <w:ind w:hanging="0" w:left="0" w:right="0"/>
              <w:jc w:val="center"/>
              <w:rPr>
                <w:rFonts w:ascii="Times New Roman" w:hAnsi="Times New Roman"/>
                <w:color w:val="000000"/>
                <w:spacing w:val="0"/>
                <w:kern w:val="0"/>
                <w:sz w:val="24"/>
                <w:szCs w:val="20"/>
              </w:rPr>
            </w:pPr>
            <w:r>
              <w:rPr>
                <w:rFonts w:ascii="Times New Roman" w:hAnsi="Times New Roman"/>
                <w:color w:val="000000"/>
                <w:spacing w:val="0"/>
                <w:kern w:val="0"/>
                <w:sz w:val="24"/>
                <w:szCs w:val="20"/>
              </w:rPr>
              <w:t>ЭР</w:t>
            </w:r>
          </w:p>
        </w:tc>
        <w:tc>
          <w:tcPr>
            <w:tcW w:w="7207" w:type="dxa"/>
            <w:tcBorders>
              <w:top w:val="single" w:sz="4" w:space="0" w:color="000000"/>
              <w:left w:val="single" w:sz="4" w:space="0" w:color="000000"/>
              <w:bottom w:val="single" w:sz="4" w:space="0" w:color="000000"/>
              <w:right w:val="single" w:sz="4" w:space="0" w:color="000000"/>
            </w:tcBorders>
            <w:shd w:fill="FFFFFF" w:val="clear"/>
            <w:vAlign w:val="center"/>
          </w:tcPr>
          <w:p>
            <w:pPr>
              <w:pStyle w:val="Normal"/>
              <w:widowControl w:val="false"/>
              <w:bidi w:val="0"/>
              <w:spacing w:lineRule="auto" w:line="240" w:before="0" w:after="0"/>
              <w:ind w:hanging="0" w:left="227" w:right="397"/>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t>Экзаменационная работа</w:t>
            </w:r>
          </w:p>
        </w:tc>
      </w:tr>
    </w:tbl>
    <w:p>
      <w:pPr>
        <w:pStyle w:val="Normal"/>
        <w:ind w:hanging="0" w:left="0" w:right="-143"/>
        <w:jc w:val="both"/>
        <w:rPr>
          <w:rFonts w:ascii="Times New Roman" w:hAnsi="Times New Roman"/>
          <w:b/>
          <w:sz w:val="28"/>
        </w:rPr>
      </w:pPr>
      <w:r>
        <w:rPr>
          <w:rFonts w:ascii="Times New Roman" w:hAnsi="Times New Roman"/>
          <w:b/>
          <w:sz w:val="28"/>
        </w:rPr>
      </w:r>
    </w:p>
    <w:p>
      <w:pPr>
        <w:pStyle w:val="Heading1"/>
        <w:jc w:val="center"/>
        <w:rPr>
          <w:rFonts w:ascii="Times New Roman" w:hAnsi="Times New Roman"/>
        </w:rPr>
      </w:pPr>
      <w:r>
        <w:rPr>
          <w:rFonts w:ascii="Times New Roman" w:hAnsi="Times New Roman"/>
        </w:rPr>
      </w:r>
      <w:r>
        <w:br w:type="page"/>
      </w:r>
    </w:p>
    <w:p>
      <w:pPr>
        <w:pStyle w:val="Heading1"/>
        <w:spacing w:before="0" w:after="120"/>
        <w:jc w:val="center"/>
        <w:rPr>
          <w:rFonts w:ascii="Times New Roman" w:hAnsi="Times New Roman"/>
        </w:rPr>
      </w:pPr>
      <w:bookmarkStart w:id="2" w:name="__RefHeading___2"/>
      <w:bookmarkStart w:id="3" w:name="_Toc404598535_Копия_1"/>
      <w:bookmarkStart w:id="4" w:name="_Toc379881169_Копия_1"/>
      <w:bookmarkStart w:id="5" w:name="_Toc412737755_Копия_1"/>
      <w:bookmarkStart w:id="6" w:name="_Toc412727178_Копия_1"/>
      <w:bookmarkStart w:id="7" w:name="_Toc410235016_Копия_1"/>
      <w:bookmarkEnd w:id="2"/>
      <w:bookmarkEnd w:id="3"/>
      <w:bookmarkEnd w:id="4"/>
      <w:bookmarkEnd w:id="5"/>
      <w:bookmarkEnd w:id="6"/>
      <w:bookmarkEnd w:id="7"/>
      <w:r>
        <w:rPr>
          <w:rFonts w:ascii="Times New Roman" w:hAnsi="Times New Roman"/>
        </w:rPr>
        <w:t>1. Особенности подготовки ППЭ и аудиторий к проведению ГИА</w:t>
      </w:r>
    </w:p>
    <w:p>
      <w:pPr>
        <w:pStyle w:val="Normal"/>
        <w:ind w:firstLine="709" w:left="0" w:right="0"/>
        <w:jc w:val="both"/>
        <w:rPr>
          <w:rFonts w:ascii="Times New Roman" w:hAnsi="Times New Roman"/>
          <w:sz w:val="28"/>
        </w:rPr>
      </w:pPr>
      <w:r>
        <w:rPr>
          <w:rFonts w:ascii="Times New Roman" w:hAnsi="Times New Roman"/>
          <w:sz w:val="28"/>
        </w:rPr>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1.1. В ППЭ, организованных на базе образовательной организации, медицинской организации, определяется специализированная (отдельная) аудитория (-и) для проведения экзаменов для участников экзаменов.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Возможно создание отдельных «опорных» ППЭ с оптимальными условиями проведения экзамена для участников экзаменов по определенным нозологическим группам или ограничениям по здоровью, оборудованных соответствующими специальными техническими средствами.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1.2. Рекомендуется организовывать специализированные (отдельные) аудитории для участников экзаменов следующих категорий нозологических групп: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а) слепых, поздноослепших, слабовидящих, владеющих шрифтом Брайля;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б) слабовидящих;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глухих;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г) слабослышащих, позднооглохших, кохлеарно имплантированных;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д) с нарушениями опорно-двигательного аппарата;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е) с расстройствами аутистического спектра;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ж) с тяжелыми нарушениями речи;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з) с задержкой психического развития;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и) иных категорий участников экзамена, которым требуется создание особых условий (диабет, онкология, астма и др.).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Особенности распределения участников экзаменов по аудиториям при проведении ГИА в форме ГВЭ представлены в Инструкции по подготовке и проведению государственной итоговой аттестации по образовательным программам основного общего образования в Камчатском крае в 2026 году. </w:t>
      </w:r>
    </w:p>
    <w:p>
      <w:pPr>
        <w:pStyle w:val="Normal"/>
        <w:spacing w:before="0" w:after="0"/>
        <w:ind w:firstLine="709" w:left="0" w:right="0"/>
        <w:contextualSpacing/>
        <w:jc w:val="both"/>
        <w:rPr>
          <w:rFonts w:ascii="Times New Roman" w:hAnsi="Times New Roman"/>
        </w:rPr>
      </w:pPr>
      <w:r>
        <w:rPr>
          <w:rFonts w:ascii="Times New Roman" w:hAnsi="Times New Roman"/>
          <w:sz w:val="28"/>
        </w:rPr>
        <w:t>Допускается нахождение в одной аудитории участников экзаменов, относящихся к разным нозологическим группам</w:t>
      </w:r>
      <w:r>
        <w:rPr>
          <w:rStyle w:val="FootnoteReference"/>
          <w:rFonts w:ascii="Times New Roman" w:hAnsi="Times New Roman"/>
          <w:sz w:val="28"/>
        </w:rPr>
        <w:footnoteReference w:id="2"/>
      </w:r>
      <w:r>
        <w:rPr>
          <w:rFonts w:ascii="Times New Roman" w:hAnsi="Times New Roman"/>
          <w:sz w:val="28"/>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1.3. Специализированные (отдельные) аудитории для проведения экзаменов оборудуются средствами видеонаблюдения.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1.4. ППЭ и аудитории, предоставляемые для проведения экзаменов, оборудуются в соответствии с нозологической группой участников экзаменов и в соответствии с условиями, учитывающими состояние их здоровья, особенности психофизического развития, в том числе в соответствии с рекомендациями ПМПК: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а) </w:t>
      </w:r>
      <w:r>
        <w:rPr>
          <w:rFonts w:ascii="Times New Roman" w:hAnsi="Times New Roman"/>
          <w:b/>
          <w:sz w:val="28"/>
        </w:rPr>
        <w:t xml:space="preserve">для участников экзаменов, выполняющих по желанию письменную ЭР на компьютере, </w:t>
      </w:r>
      <w:r>
        <w:rPr>
          <w:rFonts w:ascii="Times New Roman" w:hAnsi="Times New Roman"/>
          <w:sz w:val="28"/>
        </w:rPr>
        <w:t xml:space="preserve">– компьютерами, не имеющими выхода в сеть «Интернет» и не содержащим информации по сдаваемому учебному предмету;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б) </w:t>
      </w:r>
      <w:r>
        <w:rPr>
          <w:rFonts w:ascii="Times New Roman" w:hAnsi="Times New Roman"/>
          <w:b/>
          <w:sz w:val="28"/>
        </w:rPr>
        <w:t xml:space="preserve">для глухих, слабослышащих, позднооглохших, кохлеарно имплантированных </w:t>
      </w:r>
      <w:r>
        <w:rPr>
          <w:rFonts w:ascii="Times New Roman" w:hAnsi="Times New Roman"/>
          <w:sz w:val="28"/>
        </w:rPr>
        <w:t>– звукоусиливающей аппаратурой как коллективного, так и индивидуального пользования</w:t>
      </w:r>
      <w:r>
        <w:rPr>
          <w:rStyle w:val="FootnoteReference"/>
          <w:rFonts w:ascii="Times New Roman" w:hAnsi="Times New Roman"/>
          <w:sz w:val="28"/>
        </w:rPr>
        <w:footnoteReference w:id="3"/>
      </w:r>
      <w:r>
        <w:rPr>
          <w:rFonts w:ascii="Times New Roman" w:hAnsi="Times New Roman"/>
          <w:sz w:val="28"/>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w:t>
      </w:r>
      <w:r>
        <w:rPr>
          <w:rFonts w:ascii="Times New Roman" w:hAnsi="Times New Roman"/>
          <w:b/>
          <w:sz w:val="28"/>
        </w:rPr>
        <w:t xml:space="preserve">для слепых, поздноослепших, слабовидящих, владеющих шрифтом Брайля, – </w:t>
      </w:r>
      <w:r>
        <w:rPr>
          <w:rFonts w:ascii="Times New Roman" w:hAnsi="Times New Roman"/>
          <w:sz w:val="28"/>
        </w:rPr>
        <w:t xml:space="preserve">специальными принадлежностями для оформления ЭР рельефно-точечным шрифтом Брайля;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г) </w:t>
      </w:r>
      <w:r>
        <w:rPr>
          <w:rFonts w:ascii="Times New Roman" w:hAnsi="Times New Roman"/>
          <w:b/>
          <w:sz w:val="28"/>
        </w:rPr>
        <w:t xml:space="preserve">для слабовидящих участников экзамена </w:t>
      </w:r>
      <w:r>
        <w:rPr>
          <w:rFonts w:ascii="Times New Roman" w:hAnsi="Times New Roman"/>
          <w:sz w:val="28"/>
        </w:rPr>
        <w:t>– устройствами для копирования ЭМ в увеличенном размере</w:t>
      </w:r>
      <w:r>
        <w:rPr>
          <w:rStyle w:val="FootnoteReference"/>
          <w:rFonts w:ascii="Times New Roman" w:hAnsi="Times New Roman"/>
          <w:sz w:val="28"/>
        </w:rPr>
        <w:footnoteReference w:id="4"/>
      </w:r>
      <w:r>
        <w:rPr>
          <w:rFonts w:ascii="Times New Roman" w:hAnsi="Times New Roman"/>
          <w:sz w:val="28"/>
        </w:rPr>
        <w:t>, увеличительными устройствами (лупа или иное увеличительное устройство), индивидуальным равномерным освещением не менее 300 люкс</w:t>
      </w:r>
      <w:r>
        <w:rPr>
          <w:rStyle w:val="FootnoteReference"/>
          <w:rFonts w:ascii="Times New Roman" w:hAnsi="Times New Roman"/>
          <w:sz w:val="28"/>
        </w:rPr>
        <w:footnoteReference w:id="5"/>
      </w:r>
      <w:r>
        <w:rPr>
          <w:rFonts w:ascii="Times New Roman" w:hAnsi="Times New Roman"/>
          <w:sz w:val="28"/>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д) </w:t>
      </w:r>
      <w:r>
        <w:rPr>
          <w:rFonts w:ascii="Times New Roman" w:hAnsi="Times New Roman"/>
          <w:b/>
          <w:sz w:val="28"/>
        </w:rPr>
        <w:t xml:space="preserve">с нарушениями опорно-двигательного аппарата </w:t>
      </w:r>
      <w:r>
        <w:rPr>
          <w:rFonts w:ascii="Times New Roman" w:hAnsi="Times New Roman"/>
          <w:sz w:val="28"/>
        </w:rPr>
        <w:t>– специализированная (отдельная) аудитория в ППЭ должна находиться на первом этаже</w:t>
      </w:r>
      <w:r>
        <w:rPr>
          <w:rStyle w:val="FootnoteReference"/>
          <w:rFonts w:ascii="Times New Roman" w:hAnsi="Times New Roman"/>
          <w:sz w:val="28"/>
        </w:rPr>
        <w:footnoteReference w:id="6"/>
      </w:r>
      <w:r>
        <w:rPr>
          <w:rFonts w:ascii="Times New Roman" w:hAnsi="Times New Roman"/>
          <w:sz w:val="28"/>
        </w:rPr>
        <w:t xml:space="preserve">. В специализированной (отдельной) аудитории находятся специальные кресла, медицинские лежаки – для участников экзаменов, которые не могут долго сидеть (при необходимости), специальные периферические устройства ввода (ножная мышь, роллер, джойстик, головная мышь и др.) (при необходимости).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1.5. Количество рабочих мест в каждой аудитории определяется в зависимости от категории нозологической группы, в том числе в зависимости от используемых участниками экзаменов специальных технических средств.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1.6. В аудиториях предусматриваются места для ассистентов.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1.7. Рекомендуется размещать в аудитории не более 5 участников экзамена, сдающих экзамен с помощью ассистента. В случае распределения в аудиторию более 5 участников экзамена, сдающих экзамен с помощью ассистента, обеспечиваются условия проведения экзамена с учетом того, что ассистенты не будут мешать и (или) отвлекать других участников экзамена от выполнения ЭР. </w:t>
      </w:r>
    </w:p>
    <w:p>
      <w:pPr>
        <w:pStyle w:val="Normal"/>
        <w:spacing w:before="0" w:after="0"/>
        <w:ind w:firstLine="709" w:left="0" w:right="0"/>
        <w:contextualSpacing/>
        <w:jc w:val="both"/>
        <w:rPr>
          <w:rFonts w:ascii="Times New Roman" w:hAnsi="Times New Roman"/>
        </w:rPr>
      </w:pPr>
      <w:r>
        <w:rPr>
          <w:rFonts w:ascii="Times New Roman" w:hAnsi="Times New Roman"/>
          <w:sz w:val="28"/>
        </w:rPr>
        <w:t>1.8. При проведении экзаменов по нескольким учебным предметам в один день в соответствии с единым расписанием ГИА допускается рассадка в одну специализированную (отдельную) аудиторию участников экзаменов не более чем по двум разным учебным предметам</w:t>
      </w:r>
      <w:r>
        <w:rPr>
          <w:rStyle w:val="FootnoteReference"/>
          <w:rFonts w:ascii="Times New Roman" w:hAnsi="Times New Roman"/>
          <w:sz w:val="28"/>
        </w:rPr>
        <w:footnoteReference w:id="7"/>
      </w:r>
      <w:r>
        <w:rPr>
          <w:rFonts w:ascii="Times New Roman" w:hAnsi="Times New Roman"/>
          <w:sz w:val="28"/>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1.9. Подготавливаются в нужном количестве напечатанные Инструкции для участников экзаменов, зачитываемые организаторами в аудиториях перед началом экзамена</w:t>
      </w:r>
      <w:r>
        <w:rPr>
          <w:rStyle w:val="FootnoteReference"/>
          <w:rFonts w:ascii="Times New Roman" w:hAnsi="Times New Roman"/>
          <w:sz w:val="28"/>
        </w:rPr>
        <w:footnoteReference w:id="8"/>
      </w:r>
      <w:r>
        <w:rPr>
          <w:rFonts w:ascii="Times New Roman" w:hAnsi="Times New Roman"/>
          <w:sz w:val="28"/>
        </w:rPr>
        <w:t xml:space="preserve">, и Правила по заполнению бланков для глухих, позднооглохших, слабослышащих, кохлеарно имплантированных участников экзаменов, участников экзаменов с расстройствами аутистического спектра.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1.10. Министерство принимает решение об организации работы Комиссии тифлопереводчиков в аудитории проведения экзамена в ППЭ после окончания экзамена или в РЦОИ.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ППЭ, в котором проводится экзамен для слепых, поздноослепших, слабовидящих участников экзаменов, владеющих шрифтом Брайля, а также осуществляет свою работу Комиссия тифлопереводчиков, количество членов ГЭК увеличивается.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1.11. ППЭ может быть организован на дому по месту жительства участников экзаменов или на базе медицинской организации, в том числе санаторно-курортной, в которой проводятся необходимые лечебные, реабилитационные и оздоровительные мероприятия для нуждающихся в длительном лечении. </w:t>
      </w:r>
    </w:p>
    <w:p>
      <w:pPr>
        <w:pStyle w:val="Normal"/>
        <w:spacing w:before="0" w:after="0"/>
        <w:ind w:firstLine="709" w:left="0" w:right="0"/>
        <w:contextualSpacing/>
        <w:jc w:val="both"/>
        <w:rPr>
          <w:rFonts w:ascii="Times New Roman" w:hAnsi="Times New Roman"/>
        </w:rPr>
      </w:pPr>
      <w:r>
        <w:rPr>
          <w:rFonts w:ascii="Times New Roman" w:hAnsi="Times New Roman"/>
          <w:sz w:val="28"/>
        </w:rPr>
        <w:t>Основанием для организации экзаменов на дому, в медицинской организации являются заключение медицинской организации</w:t>
      </w:r>
      <w:r>
        <w:rPr>
          <w:rStyle w:val="FootnoteReference"/>
          <w:rFonts w:ascii="Times New Roman" w:hAnsi="Times New Roman"/>
          <w:sz w:val="28"/>
        </w:rPr>
        <w:footnoteReference w:id="9"/>
      </w:r>
      <w:r>
        <w:rPr>
          <w:rFonts w:ascii="Times New Roman" w:hAnsi="Times New Roman"/>
          <w:sz w:val="28"/>
        </w:rPr>
        <w:t xml:space="preserve"> и рекомендации ПМПК</w:t>
      </w:r>
      <w:r>
        <w:rPr>
          <w:rStyle w:val="FootnoteReference"/>
          <w:rFonts w:ascii="Times New Roman" w:hAnsi="Times New Roman"/>
          <w:sz w:val="28"/>
        </w:rPr>
        <w:footnoteReference w:id="10"/>
      </w:r>
      <w:r>
        <w:rPr>
          <w:rFonts w:ascii="Times New Roman" w:hAnsi="Times New Roman"/>
          <w:sz w:val="28"/>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При организации ППЭ на дому, медицинской организации выполняются минимальные требования к процедуре и технологии проведения экзаменов.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день проведения экзамена в ППЭ, организованном на дому, в медицинской организации, присутствуют руководитель ППЭ, организатор, член ГЭК, ассистент (при необходимости).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По решению ГЭК руководитель ППЭ, организатор, член ГЭК, ассистент (при необходимости) могут осуществлять функциональные обязанности технического специалиста, специалиста по проведению инструктажа и обеспечению лабораторных работ, экзаменатора-собеседника, эксперта, оценивающего выполнение лабораторных работ (например, организатор может одновременно выполнять функции технического специалиста, ассистент может одновременно выполнять функции специалиста по проведению инструктажа и обеспечению лабораторных работ, экзаменатора-собеседника);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Лица, привлекаемые к проведению экзаменов в ППЭ на дому, в медицинской организации, прибывают в указанный ППЭ не ранее 09:00 по местному времени.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Для участников экзаменов организовываются рабочие места с учетом состояния их здоровья, а также рабочие места для всех работников ППЭ, организованного на дому, в медицинской организации. </w:t>
      </w:r>
    </w:p>
    <w:p>
      <w:pPr>
        <w:pStyle w:val="Normal"/>
        <w:spacing w:before="0" w:after="0"/>
        <w:ind w:firstLine="709" w:left="0" w:right="0"/>
        <w:contextualSpacing/>
        <w:jc w:val="both"/>
        <w:rPr>
          <w:rFonts w:ascii="Times New Roman" w:hAnsi="Times New Roman"/>
        </w:rPr>
      </w:pPr>
      <w:r>
        <w:rPr>
          <w:rFonts w:ascii="Times New Roman" w:hAnsi="Times New Roman"/>
          <w:sz w:val="28"/>
        </w:rPr>
        <w:t>При проведении ОГЭ по учебным предметам «Иностранные языки» (устная часть), КОГЭ, в связи с тем, что данные экзамены являются высокотехнологичными и предполагают обязательное использование компьютерной техники со специализированным программным обеспечением для демонстрации КИМ и записи устных ответов участников экзаменов обеспечивается следующий минимальный набор оборудования:</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а) компьютер (ноутбук), не имеющий выхода в сеть «Интернет», с установленным программным обеспечением «Станция записи ответов» и подключенной гарнитурой (для ОГЭ по учебным предметам «Иностранные языки», устная часть), Станция КОГЭ (для КОГЭ) и «Станция организатора» актуальной версии с подключенным лазерным принтером;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б) в случае если в ППЭ на дому/в медицинской организации производится сканирование материалов экзамена, на компьютер, не имеющий выхода в сеть «Интернет», также должна быть установлена станция Штаба ППЭ и подключен сканер.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Для данного ППЭ проводятся процедуры технической подготовки и контроля технической готовности в установленные сроки. Указанные процедуры допустимо провести по месту расположения той организации, которой принадлежит используемая техника. </w:t>
      </w:r>
    </w:p>
    <w:p>
      <w:pPr>
        <w:pStyle w:val="Normal"/>
        <w:spacing w:before="0" w:after="0"/>
        <w:ind w:firstLine="709" w:left="0" w:right="0"/>
        <w:contextualSpacing/>
        <w:rPr>
          <w:rFonts w:ascii="Times New Roman" w:hAnsi="Times New Roman"/>
        </w:rPr>
      </w:pPr>
      <w:r>
        <w:rPr>
          <w:rFonts w:ascii="Times New Roman" w:hAnsi="Times New Roman"/>
          <w:sz w:val="28"/>
        </w:rPr>
        <w:t>В качестве канала доступа к сети «Интернет» рекомендуется использовать USB-модем.</w:t>
      </w:r>
    </w:p>
    <w:p>
      <w:pPr>
        <w:pStyle w:val="Normal"/>
        <w:spacing w:before="0" w:after="0"/>
        <w:ind w:firstLine="709" w:left="0" w:right="0"/>
        <w:contextualSpacing/>
        <w:rPr>
          <w:rFonts w:ascii="Times New Roman" w:hAnsi="Times New Roman"/>
          <w:sz w:val="28"/>
        </w:rPr>
      </w:pPr>
      <w:r>
        <w:rPr>
          <w:rFonts w:ascii="Times New Roman" w:hAnsi="Times New Roman"/>
          <w:sz w:val="28"/>
        </w:rPr>
      </w:r>
    </w:p>
    <w:p>
      <w:pPr>
        <w:pStyle w:val="Heading1"/>
        <w:spacing w:before="0" w:after="0"/>
        <w:contextualSpacing/>
        <w:jc w:val="center"/>
        <w:rPr>
          <w:rFonts w:ascii="Times New Roman" w:hAnsi="Times New Roman"/>
        </w:rPr>
      </w:pPr>
      <w:bookmarkStart w:id="8" w:name="__RefHeading___3"/>
      <w:bookmarkEnd w:id="8"/>
      <w:r>
        <w:rPr>
          <w:rFonts w:ascii="Times New Roman" w:hAnsi="Times New Roman"/>
        </w:rPr>
        <w:t xml:space="preserve">2. Ассистенты </w:t>
      </w:r>
    </w:p>
    <w:p>
      <w:pPr>
        <w:pStyle w:val="Normal"/>
        <w:spacing w:before="0" w:after="0"/>
        <w:contextualSpacing/>
        <w:jc w:val="center"/>
        <w:rPr>
          <w:rFonts w:ascii="Times New Roman" w:hAnsi="Times New Roman"/>
          <w:b/>
          <w:sz w:val="28"/>
        </w:rPr>
      </w:pPr>
      <w:r>
        <w:rPr>
          <w:rFonts w:ascii="Times New Roman" w:hAnsi="Times New Roman"/>
          <w:b/>
          <w:sz w:val="28"/>
        </w:rPr>
      </w:r>
    </w:p>
    <w:p>
      <w:pPr>
        <w:pStyle w:val="Normal"/>
        <w:widowControl/>
        <w:numPr>
          <w:ilvl w:val="1"/>
          <w:numId w:val="2"/>
        </w:numPr>
        <w:bidi w:val="0"/>
        <w:spacing w:lineRule="auto" w:line="240" w:before="0" w:after="0"/>
        <w:ind w:firstLine="737" w:left="0" w:right="0"/>
        <w:contextualSpacing/>
        <w:jc w:val="both"/>
        <w:rPr/>
      </w:pPr>
      <w:r>
        <w:rPr>
          <w:rFonts w:ascii="Times New Roman" w:hAnsi="Times New Roman"/>
          <w:sz w:val="28"/>
        </w:rPr>
        <w:t xml:space="preserve"> </w:t>
      </w:r>
      <w:r>
        <w:rPr>
          <w:rFonts w:ascii="Times New Roman" w:hAnsi="Times New Roman"/>
          <w:sz w:val="28"/>
        </w:rPr>
        <w:t xml:space="preserve">При проведении экзаменов для участников экзаменов ПМПК может быть рекомендован ассистент, прошедший соответствующую подготовку. Подготовку ассистентов осуществляет Министерство.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Не допускается привлекать в качестве ассистентов: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а) специалистов по сдаваемому учебному предмету;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б) педагогических работников, являющихся учителями участников экзаменов, сдающих экзамен в данном ППЭ (за исключением ППЭ, организованных в труднодоступных и отдаленных местностях, а также в учреждениях уголовно-исполнительной системы). </w:t>
      </w:r>
    </w:p>
    <w:p>
      <w:pPr>
        <w:pStyle w:val="Normal"/>
        <w:spacing w:before="0" w:after="0"/>
        <w:ind w:firstLine="709" w:left="0" w:right="0"/>
        <w:contextualSpacing/>
        <w:jc w:val="both"/>
        <w:rPr>
          <w:rFonts w:ascii="Times New Roman" w:hAnsi="Times New Roman"/>
        </w:rPr>
      </w:pPr>
      <w:r>
        <w:rPr>
          <w:rFonts w:ascii="Times New Roman" w:hAnsi="Times New Roman"/>
          <w:sz w:val="28"/>
        </w:rPr>
        <w:t>Ассистентом может быть определен работник образовательной организации (в том числе школьный психолог, тьютор), социальный работник, а также в исключительных случаях</w:t>
      </w:r>
      <w:r>
        <w:rPr>
          <w:rStyle w:val="FootnoteReference"/>
          <w:rFonts w:ascii="Times New Roman" w:hAnsi="Times New Roman"/>
          <w:sz w:val="28"/>
        </w:rPr>
        <w:footnoteReference w:id="11"/>
      </w:r>
      <w:r>
        <w:rPr>
          <w:rFonts w:ascii="Times New Roman" w:hAnsi="Times New Roman"/>
          <w:sz w:val="28"/>
        </w:rPr>
        <w:t xml:space="preserve"> – родитель (законный представитель) участника экзамена</w:t>
      </w:r>
      <w:r>
        <w:rPr>
          <w:rStyle w:val="FootnoteReference"/>
          <w:rFonts w:ascii="Times New Roman" w:hAnsi="Times New Roman"/>
          <w:sz w:val="28"/>
        </w:rPr>
        <w:footnoteReference w:id="12"/>
      </w:r>
      <w:r>
        <w:rPr>
          <w:rFonts w:ascii="Times New Roman" w:hAnsi="Times New Roman"/>
          <w:sz w:val="28"/>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Для участников экзаменов с расстройствами аутистического спектра привлекаются ассистенты, не ведущие учебный предмет, по которому сдают экзамены указанные участники экзаменов, но хорошо знакомые участникам экзамена (например, школьный психолог или учитель коррекционных занятий по развитию коммуникации и др.), что обеспечит снижение тревоги и риска аффективных срывов у указанных участников экзаменов. </w:t>
      </w:r>
    </w:p>
    <w:p>
      <w:pPr>
        <w:pStyle w:val="Normal"/>
        <w:spacing w:before="0" w:after="0"/>
        <w:ind w:firstLine="709" w:left="0" w:right="0"/>
        <w:contextualSpacing/>
        <w:jc w:val="both"/>
        <w:rPr>
          <w:rFonts w:ascii="Times New Roman" w:hAnsi="Times New Roman"/>
        </w:rPr>
      </w:pPr>
      <w:r>
        <w:rPr>
          <w:rFonts w:ascii="Times New Roman" w:hAnsi="Times New Roman"/>
          <w:sz w:val="28"/>
        </w:rPr>
        <w:t>Для глухих, позднооглохших, слабослышащих, кохлеарно имплантированных участников экзаменов привлекаются ассистенты – учителя-дефектологи (сурдопедагоги), не ведущие учебный предмет, по которому сдается экзамен.</w:t>
      </w:r>
    </w:p>
    <w:p>
      <w:pPr>
        <w:pStyle w:val="Normal"/>
        <w:numPr>
          <w:ilvl w:val="1"/>
          <w:numId w:val="2"/>
        </w:numPr>
        <w:spacing w:before="0" w:after="0"/>
        <w:ind w:firstLine="709" w:left="0" w:right="0"/>
        <w:contextualSpacing/>
        <w:jc w:val="both"/>
        <w:rPr/>
      </w:pPr>
      <w:r>
        <w:rPr>
          <w:rFonts w:ascii="Times New Roman" w:hAnsi="Times New Roman"/>
          <w:sz w:val="28"/>
        </w:rPr>
        <w:t xml:space="preserve"> </w:t>
      </w:r>
      <w:r>
        <w:rPr>
          <w:rFonts w:ascii="Times New Roman" w:hAnsi="Times New Roman"/>
          <w:sz w:val="28"/>
        </w:rPr>
        <w:t xml:space="preserve">Количество ассистентов рассчитывается с учетом того, что у каждого участника экзамена должен быть свой ассистент. Возможно назначение одного ассистента для двух участников экзамена с условием того, что каждому участнику экзамена будет оказана соответствующая помощь с учетом его индивидуальных психофизических особенностей в соответствии с рекомендациями ПМПК. </w:t>
      </w:r>
    </w:p>
    <w:p>
      <w:pPr>
        <w:pStyle w:val="Normal"/>
        <w:numPr>
          <w:ilvl w:val="1"/>
          <w:numId w:val="2"/>
        </w:numPr>
        <w:spacing w:before="0" w:after="0"/>
        <w:ind w:firstLine="709" w:left="0" w:right="0"/>
        <w:contextualSpacing/>
        <w:jc w:val="both"/>
        <w:rPr/>
      </w:pPr>
      <w:r>
        <w:rPr>
          <w:rFonts w:ascii="Times New Roman" w:hAnsi="Times New Roman"/>
          <w:sz w:val="28"/>
        </w:rPr>
        <w:t xml:space="preserve"> </w:t>
      </w:r>
      <w:r>
        <w:rPr>
          <w:rFonts w:ascii="Times New Roman" w:hAnsi="Times New Roman"/>
          <w:sz w:val="28"/>
        </w:rPr>
        <w:t xml:space="preserve">Во время экзамена в ППЭ ассистенты оказывают участникам экзаменов необходимую техническую помощь с учетом состояния их здоровья, особенностей психофизического развития и индивидуальных особенностей, в том числе: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а) обеспечивают сопровождение участников экзаменов в образовательные организации, на базе которых организованы ППЭ;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б) оказывают помощь в части передвижения по ППЭ, ориентации (в том числе помогают им занять рабочее место в аудитории) и получения информации (не относящейся к содержанию и выполнению заданий КИМ);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оказывают помощь в обеспечении коммуникации (с организаторами, членами ГЭК, руководителем ППЭ и др.), в том числе с использованием коммуникативных устройств, средств альтернативной коммуникации (за исключением средств связи, фото-, аудио- и видеоаппаратуры);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г) оказывают организующую помощь, при необходимости психологическую, эмоциональную поддержку (помогают успокоиться, снизить проявления тревожности), стимулируют деятельность участников экзаменов;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д) оказывают помощь в использовании технических средств, необходимых для выполнения заданий, технических средств (изделий) реабилитации и обучения;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е) оказывают помощь в ведении записей, чтении заданий (в том числе фиксации положения тела, ручки в кисти руки; при оформлении регистрационных полей бланков; приведении в порядок рабочего места и подготовке необходимых принадлежностей; удержании КИМ в вертикальном положении, фиксации строки/абзаца; осуществляют записи на черновике под диктовку участников экзаменов при проведении экзамена в устной форме (для участников экзамена с нарушением опорно-двигательного аппарата);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ж) оказывают помощь при выполнении ЭР на компьютере (настройки на экране; изменение (увеличение) шрифта; расположение ЭР на экране компьютера с учетом особенностей зрения и др.);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з) вызывают медицинских работников (при необходимости); </w:t>
      </w:r>
    </w:p>
    <w:p>
      <w:pPr>
        <w:pStyle w:val="Normal"/>
        <w:spacing w:before="0" w:after="0"/>
        <w:ind w:firstLine="709" w:left="0" w:right="0"/>
        <w:contextualSpacing/>
        <w:jc w:val="both"/>
        <w:rPr>
          <w:rFonts w:ascii="Times New Roman" w:hAnsi="Times New Roman"/>
        </w:rPr>
      </w:pPr>
      <w:r>
        <w:rPr>
          <w:rFonts w:ascii="Times New Roman" w:hAnsi="Times New Roman"/>
          <w:sz w:val="28"/>
        </w:rPr>
        <w:t>и) переносят</w:t>
      </w:r>
      <w:r>
        <w:rPr>
          <w:rStyle w:val="FootnoteReference"/>
          <w:rFonts w:ascii="Times New Roman" w:hAnsi="Times New Roman"/>
          <w:sz w:val="28"/>
        </w:rPr>
        <w:footnoteReference w:id="13"/>
      </w:r>
      <w:r>
        <w:rPr>
          <w:rFonts w:ascii="Times New Roman" w:hAnsi="Times New Roman"/>
          <w:sz w:val="28"/>
        </w:rPr>
        <w:t xml:space="preserve"> ответы на задания КИМ, выполненные участниками экзамена с нарушениями опорно-двигательного аппарата, слабовидящими участниками экзаменов в бланках увеличенного  размера (ДБО увеличенного размера), черновиках, а также ответы на задания КИМ, выполненные участниками экзаменов на компьютере, в бланки ответов, а также в ДБО (при необходимости) ТОЧНО скопировав авторскую орфографию, пунктуацию и стилистику;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к) ставят в бланке регистрации, а также в протоколе проведения экзамена в аудитории свою подпись, в случае если участник экзамена по состоянию здоровья не может поставить личную подпись в бланке регистрации, в протоколе проведения экзамена в аудитории; </w:t>
      </w:r>
    </w:p>
    <w:p>
      <w:pPr>
        <w:pStyle w:val="Normal"/>
        <w:spacing w:before="0" w:after="0"/>
        <w:ind w:firstLine="709" w:left="0" w:right="0"/>
        <w:contextualSpacing/>
        <w:jc w:val="both"/>
        <w:rPr>
          <w:rFonts w:ascii="Times New Roman" w:hAnsi="Times New Roman"/>
        </w:rPr>
      </w:pPr>
      <w:r>
        <w:rPr>
          <w:rFonts w:ascii="Times New Roman" w:hAnsi="Times New Roman"/>
          <w:sz w:val="28"/>
        </w:rPr>
        <w:t>л) вписывают в отведенном месте на титульном листе специальной тетради для записей ответов ФИО и данные участника экзамена из документа, удостоверяющего его личность, при выполнении ЭР слепыми, поздноослепшими, слабовидящими участниками экзамена</w:t>
      </w:r>
      <w:r>
        <w:rPr>
          <w:rFonts w:ascii="Times New Roman" w:hAnsi="Times New Roman"/>
          <w:b/>
          <w:sz w:val="28"/>
        </w:rPr>
        <w:t xml:space="preserve">, </w:t>
      </w:r>
      <w:r>
        <w:rPr>
          <w:rFonts w:ascii="Times New Roman" w:hAnsi="Times New Roman"/>
          <w:sz w:val="28"/>
        </w:rPr>
        <w:t xml:space="preserve">владеющими шрифтом Брайля. </w:t>
      </w:r>
    </w:p>
    <w:p>
      <w:pPr>
        <w:pStyle w:val="Normal"/>
        <w:numPr>
          <w:ilvl w:val="1"/>
          <w:numId w:val="2"/>
        </w:numPr>
        <w:spacing w:before="0" w:after="0"/>
        <w:ind w:firstLine="709" w:left="0" w:right="0"/>
        <w:contextualSpacing/>
        <w:jc w:val="both"/>
        <w:rPr/>
      </w:pPr>
      <w:r>
        <w:rPr>
          <w:rFonts w:ascii="Times New Roman" w:hAnsi="Times New Roman"/>
          <w:sz w:val="28"/>
        </w:rPr>
        <w:t xml:space="preserve"> </w:t>
      </w:r>
      <w:r>
        <w:rPr>
          <w:rFonts w:ascii="Times New Roman" w:hAnsi="Times New Roman"/>
          <w:sz w:val="28"/>
        </w:rPr>
        <w:t>При проведении экзаменов в соответствии с рекомендациями ПМПК, а также по желанию</w:t>
      </w:r>
      <w:r>
        <w:rPr>
          <w:rStyle w:val="FootnoteReference"/>
          <w:rFonts w:ascii="Times New Roman" w:hAnsi="Times New Roman"/>
          <w:sz w:val="28"/>
        </w:rPr>
        <w:footnoteReference w:id="14"/>
      </w:r>
      <w:r>
        <w:rPr>
          <w:rFonts w:ascii="Times New Roman" w:hAnsi="Times New Roman"/>
          <w:sz w:val="28"/>
        </w:rPr>
        <w:t xml:space="preserve"> глухих, позднооглохших, слабослышащих, кохлеарно имплантированных участников экзаменов в качестве ассистентов  привлекаются учителя-дефектологи (сурдопедагоги), владеющие сурдопереводом. </w:t>
      </w:r>
    </w:p>
    <w:p>
      <w:pPr>
        <w:pStyle w:val="Normal"/>
        <w:spacing w:before="0" w:after="0"/>
        <w:ind w:firstLine="709" w:left="0" w:right="0"/>
        <w:contextualSpacing/>
        <w:jc w:val="both"/>
        <w:rPr>
          <w:rFonts w:ascii="Times New Roman" w:hAnsi="Times New Roman"/>
        </w:rPr>
      </w:pPr>
      <w:r>
        <w:rPr>
          <w:rFonts w:ascii="Times New Roman" w:hAnsi="Times New Roman"/>
          <w:sz w:val="28"/>
        </w:rPr>
        <w:t>В обязанности ассистента входит осуществление сурдоперевода на всех этапах экзамена, в том числе при устном разъяснении процедурных особенностей его проведения, осуществление сурдоперевода</w:t>
      </w:r>
      <w:r>
        <w:rPr>
          <w:rStyle w:val="FootnoteReference"/>
          <w:rFonts w:ascii="Times New Roman" w:hAnsi="Times New Roman"/>
          <w:sz w:val="28"/>
        </w:rPr>
        <w:footnoteReference w:id="15"/>
      </w:r>
      <w:r>
        <w:rPr>
          <w:rFonts w:ascii="Times New Roman" w:hAnsi="Times New Roman"/>
          <w:sz w:val="28"/>
        </w:rPr>
        <w:t xml:space="preserve"> текста для изложения</w:t>
      </w:r>
      <w:r>
        <w:rPr>
          <w:rStyle w:val="FootnoteReference"/>
          <w:rFonts w:ascii="Times New Roman" w:hAnsi="Times New Roman"/>
          <w:sz w:val="28"/>
        </w:rPr>
        <w:footnoteReference w:id="16"/>
      </w:r>
      <w:r>
        <w:rPr>
          <w:rFonts w:ascii="Times New Roman" w:hAnsi="Times New Roman"/>
          <w:sz w:val="28"/>
        </w:rPr>
        <w:t xml:space="preserve">. </w:t>
      </w:r>
    </w:p>
    <w:p>
      <w:pPr>
        <w:pStyle w:val="Normal"/>
        <w:numPr>
          <w:ilvl w:val="1"/>
          <w:numId w:val="2"/>
        </w:numPr>
        <w:spacing w:before="0" w:after="0"/>
        <w:ind w:firstLine="709" w:left="0" w:right="0"/>
        <w:contextualSpacing/>
        <w:jc w:val="both"/>
        <w:rPr/>
      </w:pPr>
      <w:r>
        <w:rPr>
          <w:rFonts w:ascii="Times New Roman" w:hAnsi="Times New Roman"/>
          <w:sz w:val="28"/>
        </w:rPr>
        <w:t xml:space="preserve"> </w:t>
      </w:r>
      <w:r>
        <w:rPr>
          <w:rFonts w:ascii="Times New Roman" w:hAnsi="Times New Roman"/>
          <w:sz w:val="28"/>
        </w:rPr>
        <w:t xml:space="preserve">Допускается заполнение ассистентами бланков регистрации в соответствии с документами, удостоверяющими личность участников экзаменов, и регистрационных полей бланков ответов, ДБО в соответствии с информацией, оформленной организаторами в аудитории на доске (информационном стенде). </w:t>
      </w:r>
    </w:p>
    <w:p>
      <w:pPr>
        <w:pStyle w:val="Normal"/>
        <w:spacing w:before="0" w:after="0"/>
        <w:ind w:firstLine="709" w:left="0" w:right="0"/>
        <w:contextualSpacing/>
        <w:jc w:val="both"/>
        <w:rPr>
          <w:rFonts w:ascii="Times New Roman" w:hAnsi="Times New Roman"/>
          <w:sz w:val="26"/>
        </w:rPr>
      </w:pPr>
      <w:r>
        <w:rPr>
          <w:rFonts w:ascii="Times New Roman" w:hAnsi="Times New Roman"/>
          <w:sz w:val="26"/>
        </w:rPr>
      </w:r>
    </w:p>
    <w:p>
      <w:pPr>
        <w:pStyle w:val="Heading1"/>
        <w:spacing w:before="0" w:after="0"/>
        <w:contextualSpacing/>
        <w:jc w:val="center"/>
        <w:rPr>
          <w:rFonts w:ascii="Times New Roman" w:hAnsi="Times New Roman"/>
        </w:rPr>
      </w:pPr>
      <w:bookmarkStart w:id="9" w:name="__RefHeading___4"/>
      <w:bookmarkEnd w:id="9"/>
      <w:r>
        <w:rPr>
          <w:rFonts w:ascii="Times New Roman" w:hAnsi="Times New Roman"/>
        </w:rPr>
        <w:t>3. Особенности проведения ГИА</w:t>
      </w:r>
    </w:p>
    <w:p>
      <w:pPr>
        <w:pStyle w:val="Normal"/>
        <w:spacing w:before="0" w:after="0"/>
        <w:contextualSpacing/>
        <w:jc w:val="center"/>
        <w:rPr>
          <w:rFonts w:ascii="Times New Roman" w:hAnsi="Times New Roman"/>
        </w:rPr>
      </w:pPr>
      <w:r>
        <w:rPr>
          <w:rFonts w:ascii="Times New Roman" w:hAnsi="Times New Roman"/>
        </w:rPr>
      </w:r>
    </w:p>
    <w:p>
      <w:pPr>
        <w:pStyle w:val="Heading2"/>
        <w:spacing w:before="0" w:after="0"/>
        <w:contextualSpacing/>
        <w:jc w:val="center"/>
        <w:rPr>
          <w:rFonts w:ascii="Times New Roman" w:hAnsi="Times New Roman"/>
        </w:rPr>
      </w:pPr>
      <w:bookmarkStart w:id="10" w:name="__RefHeading___5"/>
      <w:bookmarkEnd w:id="10"/>
      <w:r>
        <w:rPr>
          <w:rFonts w:ascii="Times New Roman" w:hAnsi="Times New Roman"/>
        </w:rPr>
        <w:t xml:space="preserve">3.1. Подготовительный этап: </w:t>
        <w:br/>
        <w:t xml:space="preserve">организационно - технологические мероприятия, проводимые в ППЭ </w:t>
      </w:r>
    </w:p>
    <w:p>
      <w:pPr>
        <w:pStyle w:val="Normal"/>
        <w:spacing w:before="0" w:after="0"/>
        <w:contextualSpacing/>
        <w:jc w:val="center"/>
        <w:rPr>
          <w:rFonts w:ascii="Times New Roman" w:hAnsi="Times New Roman"/>
        </w:rPr>
      </w:pPr>
      <w:r>
        <w:rPr>
          <w:rFonts w:ascii="Times New Roman" w:hAnsi="Times New Roman"/>
        </w:rPr>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3.1.1. Информация о количестве участников экзаменов в ППЭ и о необходимости организации проведения экзаменов в условиях, учитывающих состояние их здоровья, особенности психофизического развития, направляется Министерством в ППЭ не позднее двух рабочих дней до дня проведения экзамена по соответствующему учебному предмету.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3.1.2. Руководитель ППЭ совместно с руководителем образовательной организации, медицинской организации, на базе которой организован ППЭ, обеспечивает готовность ППЭ к проведению ГИА для участников экзаменов в соответствии с требованиями к ППЭ, установленными Порядком, а также с требованиями, изложенными </w:t>
      </w:r>
      <w:r>
        <w:rPr>
          <w:rFonts w:ascii="Times New Roman" w:hAnsi="Times New Roman"/>
          <w:color w:themeColor="text1" w:val="000000"/>
          <w:sz w:val="28"/>
        </w:rPr>
        <w:t>в настоящих Инструкциях</w:t>
      </w:r>
      <w:r>
        <w:rPr>
          <w:rFonts w:ascii="Times New Roman" w:hAnsi="Times New Roman"/>
          <w:sz w:val="28"/>
        </w:rPr>
        <w:t xml:space="preserve">, с учетом рекомендаций ПМПК.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3.1.3. Руководитель ППЭ совместно с руководителем образовательной организации, медицинской организации, на базе которой организован ППЭ, также: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а) для слепых, поздноослепших, слабовидящих участников экзаменов, владеющих шрифтом Брайля: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подготавливает дополнительные листы для записи ответов по системе Брайля;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подготавливает в необходимом количестве черновики из расчета по десять листов для письма по Брайлю, грифель и прибор для письма по Брайлю, либо печатную брайлевскую машинку на каждого участника экзамена; </w:t>
      </w:r>
    </w:p>
    <w:p>
      <w:pPr>
        <w:pStyle w:val="Normal"/>
        <w:spacing w:before="0" w:after="0"/>
        <w:ind w:firstLine="709" w:left="0" w:right="0"/>
        <w:contextualSpacing/>
        <w:jc w:val="both"/>
        <w:rPr>
          <w:rFonts w:ascii="Times New Roman" w:hAnsi="Times New Roman"/>
        </w:rPr>
      </w:pPr>
      <w:r>
        <w:rPr>
          <w:rFonts w:ascii="Times New Roman" w:hAnsi="Times New Roman"/>
          <w:sz w:val="28"/>
        </w:rPr>
        <w:t>подготавливает в необходимом количестве «Памятку для ассистентов слепых и слабовидящих участников экзаменов по   заполнению шрифтом Брайля   тетрадей   для ответов» (представлена в Приложении 2 к настоящим Инструкциям);</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б) для слабовидящих участников экзаменов: </w:t>
      </w:r>
    </w:p>
    <w:p>
      <w:pPr>
        <w:pStyle w:val="Normal"/>
        <w:spacing w:before="0" w:after="0"/>
        <w:ind w:firstLine="709" w:left="0" w:right="0"/>
        <w:contextualSpacing/>
        <w:jc w:val="both"/>
        <w:rPr>
          <w:rFonts w:ascii="Times New Roman" w:hAnsi="Times New Roman"/>
        </w:rPr>
      </w:pPr>
      <w:r>
        <w:rPr>
          <w:rFonts w:ascii="Times New Roman" w:hAnsi="Times New Roman"/>
          <w:sz w:val="28"/>
        </w:rPr>
        <w:t>подготавливает в необходимом количестве пакеты размером формата А3 для масштабированных ЭМ;</w:t>
      </w:r>
    </w:p>
    <w:p>
      <w:pPr>
        <w:pStyle w:val="Normal"/>
        <w:spacing w:before="0" w:after="0"/>
        <w:ind w:firstLine="709" w:left="0" w:right="0"/>
        <w:contextualSpacing/>
        <w:jc w:val="both"/>
        <w:rPr>
          <w:rFonts w:ascii="Times New Roman" w:hAnsi="Times New Roman"/>
        </w:rPr>
      </w:pPr>
      <w:r>
        <w:rPr>
          <w:rFonts w:ascii="Times New Roman" w:hAnsi="Times New Roman"/>
          <w:sz w:val="28"/>
        </w:rPr>
        <w:t>подготавливает в необходимом количестве техническое оборудование для масштабирования ЭМ до формата А3</w:t>
      </w:r>
      <w:r>
        <w:rPr>
          <w:rStyle w:val="FootnoteReference"/>
          <w:rFonts w:ascii="Times New Roman" w:hAnsi="Times New Roman"/>
          <w:sz w:val="28"/>
        </w:rPr>
        <w:footnoteReference w:id="17"/>
      </w:r>
      <w:r>
        <w:rPr>
          <w:rFonts w:ascii="Times New Roman" w:hAnsi="Times New Roman"/>
          <w:sz w:val="28"/>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подготовить в необходимом количестве увеличительные устройства (лупа или иное увеличительное устройство);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в) для глухих участников экзаменов: </w:t>
      </w:r>
    </w:p>
    <w:p>
      <w:pPr>
        <w:pStyle w:val="Normal"/>
        <w:spacing w:before="0" w:after="0"/>
        <w:ind w:firstLine="709" w:left="0" w:right="0"/>
        <w:contextualSpacing/>
        <w:jc w:val="both"/>
        <w:rPr>
          <w:rFonts w:ascii="Times New Roman" w:hAnsi="Times New Roman"/>
        </w:rPr>
      </w:pPr>
      <w:r>
        <w:rPr>
          <w:rFonts w:ascii="Times New Roman" w:hAnsi="Times New Roman"/>
          <w:sz w:val="28"/>
        </w:rPr>
        <w:t>подготавливает на каждого участника экзамена напечатанные Правила по заполнению бланков и Инструкцию для участника экзамена, зачитываемую организатором в аудитории перед началом экзамена</w:t>
      </w:r>
      <w:r>
        <w:rPr>
          <w:rStyle w:val="FootnoteReference"/>
          <w:rFonts w:ascii="Times New Roman" w:hAnsi="Times New Roman"/>
          <w:sz w:val="28"/>
        </w:rPr>
        <w:footnoteReference w:id="18"/>
      </w:r>
      <w:r>
        <w:rPr>
          <w:rFonts w:ascii="Times New Roman" w:hAnsi="Times New Roman"/>
          <w:sz w:val="28"/>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подготавливает напечатанные тексты раздела 1 (задания по аудированию) письменной части ЭР ОГЭ по иностранным языкам;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подготавливает напечатанные тексты для изложения ГИА-9 по русскому языку;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г) слабослышащих, позднооглохших, кохлеарно имплантированных участников экзаменов: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подготавливает напечатанные тексты для изложения ГИА-9 по русскому языку;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подготавливает в необходимом количестве звукоусиливающую аппаратуру как коллективного, так и индивидуального пользования; </w:t>
      </w:r>
    </w:p>
    <w:p>
      <w:pPr>
        <w:pStyle w:val="Normal"/>
        <w:spacing w:before="0" w:after="0"/>
        <w:ind w:firstLine="709" w:left="0" w:right="0"/>
        <w:contextualSpacing/>
        <w:jc w:val="both"/>
        <w:rPr>
          <w:rFonts w:ascii="Times New Roman" w:hAnsi="Times New Roman"/>
        </w:rPr>
      </w:pPr>
      <w:r>
        <w:rPr>
          <w:rFonts w:ascii="Times New Roman" w:hAnsi="Times New Roman"/>
          <w:b/>
          <w:sz w:val="28"/>
        </w:rPr>
        <w:t>д) для участников экзаменов с нарушениями опорно-двигательного аппарата</w:t>
      </w:r>
      <w:r>
        <w:rPr>
          <w:rFonts w:ascii="Times New Roman" w:hAnsi="Times New Roman"/>
          <w:b/>
          <w:i/>
          <w:sz w:val="28"/>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обеспечивает беспрепятственный доступ в аудитории, в том числе учитывая необходимость увеличения расстояния между рабочими столами (партами) для передвижения инвалидных колясок;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обеспечивает адаптированное рабочее место и вспомогательные технические средства с учетом психофизических особенностей участников экзаменов (при необходимости);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е) для участников экзаменов с расстройствами аутистического спектра: </w:t>
      </w:r>
    </w:p>
    <w:p>
      <w:pPr>
        <w:pStyle w:val="Normal"/>
        <w:spacing w:before="0" w:after="0"/>
        <w:ind w:firstLine="709" w:left="0" w:right="0"/>
        <w:contextualSpacing/>
        <w:jc w:val="both"/>
        <w:rPr>
          <w:rFonts w:ascii="Times New Roman" w:hAnsi="Times New Roman"/>
        </w:rPr>
      </w:pPr>
      <w:r>
        <w:rPr>
          <w:rFonts w:ascii="Times New Roman" w:hAnsi="Times New Roman"/>
          <w:sz w:val="28"/>
        </w:rPr>
        <w:t>подготавливает на каждого участника экзамена напечатанные Правила по заполнению бланков и Инструкцию для участника экзамена, зачитываемую организатором в аудитории перед началом экзамена</w:t>
      </w:r>
      <w:r>
        <w:rPr>
          <w:rStyle w:val="FootnoteReference"/>
          <w:rFonts w:ascii="Times New Roman" w:hAnsi="Times New Roman"/>
          <w:sz w:val="28"/>
        </w:rPr>
        <w:footnoteReference w:id="19"/>
      </w:r>
      <w:r>
        <w:rPr>
          <w:rFonts w:ascii="Times New Roman" w:hAnsi="Times New Roman"/>
          <w:sz w:val="28"/>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обеспечивает проведение экзамена в небольшой по площади аудитории с малым количеством участников (не более 5 участников экзаменов), обеспечить тишину и отсутствие ярких визуальных раздражителей в аудитории;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ж) для участников экзаменов, выполняющих письменную ЭР на компьютере по желанию: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подготавливает принтеры для распечатки ответов участников экзаменов;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совместно с техническим специалистом производит контроль готовности рабочего места, оборудованного компьютером, в том числе: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наличие специальных периферических устройств ввода (ножная мышь, роллер, джойстик, головная мышь и др.) (при необходимости);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диагональ монитора не менее 19 дюймов; </w:t>
      </w:r>
    </w:p>
    <w:p>
      <w:pPr>
        <w:pStyle w:val="Normal"/>
        <w:spacing w:before="0" w:after="0"/>
        <w:ind w:firstLine="709" w:left="0" w:right="0"/>
        <w:contextualSpacing/>
        <w:rPr>
          <w:rFonts w:ascii="Times New Roman" w:hAnsi="Times New Roman"/>
        </w:rPr>
      </w:pPr>
      <w:r>
        <w:rPr>
          <w:rFonts w:ascii="Times New Roman" w:hAnsi="Times New Roman"/>
          <w:sz w:val="28"/>
        </w:rPr>
        <w:t>наличие средств индивидуального прослушивания (наушники);</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оснащение специализированным программным обеспечением (например, экранной лупой);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наличие клавиатуры с увеличенным размером клавиш или виртуальной клавиатуры с возможностью подключения специальных настроек: увеличение курсора, замедление скорости перемещения курсора, включение опции увеличения области просмотра и др. </w:t>
      </w:r>
    </w:p>
    <w:p>
      <w:pPr>
        <w:pStyle w:val="Normal"/>
        <w:spacing w:before="0" w:after="0"/>
        <w:ind w:firstLine="709" w:left="0" w:right="0"/>
        <w:contextualSpacing/>
        <w:jc w:val="both"/>
        <w:rPr>
          <w:rFonts w:ascii="Times New Roman" w:hAnsi="Times New Roman"/>
        </w:rPr>
      </w:pPr>
      <w:r>
        <w:rPr>
          <w:rFonts w:ascii="Times New Roman" w:hAnsi="Times New Roman"/>
          <w:b/>
          <w:sz w:val="28"/>
        </w:rPr>
        <w:t>3.1.4. Для слепых, поздноослепших, слабовидящих участников экзаменов, выполняющих письменную ЭР на компьютере, устанавливаются следующие рекомендации к техническому и программному обеспечению</w:t>
      </w:r>
      <w:r>
        <w:rPr>
          <w:rStyle w:val="FootnoteReference"/>
          <w:rFonts w:ascii="Times New Roman" w:hAnsi="Times New Roman"/>
          <w:b/>
          <w:sz w:val="28"/>
        </w:rPr>
        <w:footnoteReference w:id="20"/>
      </w:r>
      <w:r>
        <w:rPr>
          <w:rFonts w:ascii="Times New Roman" w:hAnsi="Times New Roman"/>
          <w:b/>
          <w:sz w:val="28"/>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а) системные требования к персональному компьютеру: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б) оперативная память не менее 4 ГБ;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HDD не менее 100 ГБ свободного пространства;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г) операционная система: Windows 10;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д) брайлевский дисплей, например, focus 40 blue;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е) программы невизуального доступа, например, Jaws for Windows 2021 и NVDA 2021;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ж) наушники с usb интерфейсом;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з) набор голосовых синтезаторов, например, rhvoice, vocalize, mymause. </w:t>
      </w:r>
    </w:p>
    <w:p>
      <w:pPr>
        <w:pStyle w:val="Normal"/>
        <w:spacing w:before="0" w:after="0"/>
        <w:ind w:firstLine="709" w:left="0" w:right="0"/>
        <w:contextualSpacing/>
        <w:jc w:val="both"/>
        <w:rPr>
          <w:rFonts w:ascii="Times New Roman" w:hAnsi="Times New Roman"/>
        </w:rPr>
      </w:pPr>
      <w:r>
        <w:rPr>
          <w:rFonts w:ascii="Times New Roman" w:hAnsi="Times New Roman"/>
          <w:sz w:val="28"/>
        </w:rPr>
        <w:t>3.1.5. Подготавливает место для мобильных телефонов и иных электронных устройств участников экзаменов с диагнозом «сахарный диабет» (1 типа) - специально выделенный стол либо рабочий стол организаторов в аудитории, находящийся в зоне видимости средств видеонаблюдения (при наличии таких участников).</w:t>
      </w:r>
    </w:p>
    <w:p>
      <w:pPr>
        <w:pStyle w:val="Normal"/>
        <w:spacing w:before="0" w:after="0"/>
        <w:ind w:firstLine="709" w:left="0" w:right="0"/>
        <w:contextualSpacing/>
        <w:jc w:val="both"/>
        <w:rPr>
          <w:rFonts w:ascii="Times New Roman" w:hAnsi="Times New Roman"/>
          <w:b/>
          <w:sz w:val="28"/>
        </w:rPr>
      </w:pPr>
      <w:r>
        <w:rPr>
          <w:rFonts w:ascii="Times New Roman" w:hAnsi="Times New Roman"/>
          <w:b/>
          <w:sz w:val="28"/>
        </w:rPr>
      </w:r>
    </w:p>
    <w:p>
      <w:pPr>
        <w:pStyle w:val="Normal"/>
        <w:spacing w:before="0" w:after="0"/>
        <w:ind w:firstLine="709" w:left="0" w:right="0"/>
        <w:contextualSpacing/>
        <w:jc w:val="both"/>
        <w:rPr>
          <w:rFonts w:ascii="Times New Roman" w:hAnsi="Times New Roman"/>
        </w:rPr>
      </w:pPr>
      <w:r>
        <w:rPr>
          <w:rFonts w:ascii="Times New Roman" w:hAnsi="Times New Roman"/>
        </w:rPr>
      </w:r>
    </w:p>
    <w:p>
      <w:pPr>
        <w:pStyle w:val="Heading2"/>
        <w:spacing w:before="0" w:after="0"/>
        <w:contextualSpacing/>
        <w:jc w:val="center"/>
        <w:rPr>
          <w:rFonts w:ascii="Times New Roman" w:hAnsi="Times New Roman"/>
        </w:rPr>
      </w:pPr>
      <w:bookmarkStart w:id="11" w:name="__RefHeading___6"/>
      <w:bookmarkEnd w:id="11"/>
      <w:r>
        <w:rPr>
          <w:rFonts w:ascii="Times New Roman" w:hAnsi="Times New Roman"/>
        </w:rPr>
        <w:t>3.2. Начало проведения экзамена в аудитории</w:t>
      </w:r>
    </w:p>
    <w:p>
      <w:pPr>
        <w:pStyle w:val="Normal"/>
        <w:spacing w:before="0" w:after="0"/>
        <w:contextualSpacing/>
        <w:rPr>
          <w:rFonts w:ascii="Times New Roman" w:hAnsi="Times New Roman"/>
        </w:rPr>
      </w:pPr>
      <w:r>
        <w:rPr>
          <w:rFonts w:ascii="Times New Roman" w:hAnsi="Times New Roman"/>
        </w:rPr>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3.2.1. При проведении экзаменов для слабовидящих участников экзамена ЭМ масштабируются до формата А3. Масштабирование производится в присутствии члена ГЭК не ранее 10:00 по местному времени.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ЭМ масштабированные и стандартного размера выдаются участникам экзамена.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Слабовидящие участники экзамена могут работать с ЭМ стандартного размера или с масштабированными до формата А3 (по своему выбору).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3.2.2. В случае нахождения в аудитории вместе со слабовидящими участниками экзамена участников экзамена другой нозологической группы экзамен </w:t>
      </w:r>
      <w:r>
        <w:rPr>
          <w:rFonts w:ascii="Times New Roman" w:hAnsi="Times New Roman"/>
          <w:b/>
          <w:sz w:val="28"/>
        </w:rPr>
        <w:t xml:space="preserve">начинается </w:t>
      </w:r>
      <w:r>
        <w:rPr>
          <w:rFonts w:ascii="Times New Roman" w:hAnsi="Times New Roman"/>
          <w:sz w:val="28"/>
        </w:rPr>
        <w:t xml:space="preserve">для всех присутствующих в аудитории участников экзамена </w:t>
      </w:r>
      <w:r>
        <w:rPr>
          <w:rFonts w:ascii="Times New Roman" w:hAnsi="Times New Roman"/>
          <w:b/>
          <w:sz w:val="28"/>
        </w:rPr>
        <w:t xml:space="preserve">единовременно </w:t>
      </w:r>
      <w:r>
        <w:rPr>
          <w:rFonts w:ascii="Times New Roman" w:hAnsi="Times New Roman"/>
          <w:sz w:val="28"/>
        </w:rPr>
        <w:t xml:space="preserve">(т.е. после увеличения ЭМ для слабовидящих участников экзамена).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3.2.3. Глухим, позднооглохшим, слабослышащим, кохлеарно имплантированным участникам экзамена, участникам экзамена с расстройствами аутистического спектра выдаются Инструкции для участников экзаменов, зачитываемые организаторами в аудитории перед началом экзамена, и Правила по заполнению бланков. </w:t>
      </w:r>
    </w:p>
    <w:p>
      <w:pPr>
        <w:pStyle w:val="Normal"/>
        <w:spacing w:before="0" w:after="0"/>
        <w:ind w:firstLine="709" w:left="0" w:right="0"/>
        <w:contextualSpacing/>
        <w:jc w:val="both"/>
        <w:rPr>
          <w:rFonts w:ascii="Times New Roman" w:hAnsi="Times New Roman"/>
        </w:rPr>
      </w:pPr>
      <w:r>
        <w:rPr>
          <w:rFonts w:ascii="Times New Roman" w:hAnsi="Times New Roman"/>
        </w:rPr>
      </w:r>
    </w:p>
    <w:p>
      <w:pPr>
        <w:pStyle w:val="Heading2"/>
        <w:spacing w:before="0" w:after="0"/>
        <w:contextualSpacing/>
        <w:jc w:val="center"/>
        <w:rPr>
          <w:rFonts w:ascii="Times New Roman" w:hAnsi="Times New Roman"/>
        </w:rPr>
      </w:pPr>
      <w:bookmarkStart w:id="12" w:name="__RefHeading___7"/>
      <w:bookmarkEnd w:id="12"/>
      <w:r>
        <w:rPr>
          <w:rFonts w:ascii="Times New Roman" w:hAnsi="Times New Roman"/>
        </w:rPr>
        <w:t>3.3. Проведение экзамена в аудитории</w:t>
      </w:r>
    </w:p>
    <w:p>
      <w:pPr>
        <w:pStyle w:val="Normal"/>
        <w:spacing w:before="0" w:after="0"/>
        <w:contextualSpacing/>
        <w:jc w:val="center"/>
        <w:rPr>
          <w:rFonts w:ascii="Times New Roman" w:hAnsi="Times New Roman"/>
        </w:rPr>
      </w:pPr>
      <w:r>
        <w:rPr>
          <w:rFonts w:ascii="Times New Roman" w:hAnsi="Times New Roman"/>
        </w:rPr>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3.3.1. Слепые, поздноослепшие, слабовидящие участники экзамена, владеющие шрифтом Брайля, с использованием письменного прибора Брайля и грифеля или пишущей брайлевской машинки на второй странице специальной тетради для записи ответов шрифтом Брайля пишут фамилию (с новой строки), имя (с новой строки), отчество (с новой строки), серию и номер своего документа, удостоверяющего личность, с новой строки.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3.3.2. В случае заполнения участником экзамена всей специальной тетради для записи ответов организатор в аудитории выдает участнику экзамена дополнительный лист для записи ответов по Брайлю. При этом участник экзамена пишет ФИО на верхней строке листа шрифтом Брайля, ассистент пишет ФИО участника экзамена на дополнительном листе обычным способом.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3.3.3. Для слепых, поздноослепших, слабовидящих участников экзаменов каждый час объявляется время до конца экзамена. </w:t>
      </w:r>
    </w:p>
    <w:p>
      <w:pPr>
        <w:pStyle w:val="Normal"/>
        <w:spacing w:before="0" w:after="0"/>
        <w:ind w:firstLine="709" w:left="0" w:right="0"/>
        <w:contextualSpacing/>
        <w:jc w:val="both"/>
        <w:rPr>
          <w:rFonts w:ascii="Times New Roman" w:hAnsi="Times New Roman"/>
        </w:rPr>
      </w:pPr>
      <w:r>
        <w:rPr>
          <w:rFonts w:ascii="Times New Roman" w:hAnsi="Times New Roman"/>
          <w:sz w:val="28"/>
        </w:rPr>
        <w:t>3.3.4. Участники экзамена, досрочно завершившие выполнение ЭР, сдают ЭМ и черновики организаторам в аудитории, не дожидаясь завершения окончания экзамена. Организаторы принимают от них все материалы, заполняют соответствующие формы ППЭ и получают подписи</w:t>
      </w:r>
      <w:r>
        <w:rPr>
          <w:rStyle w:val="FootnoteReference"/>
          <w:rFonts w:ascii="Times New Roman" w:hAnsi="Times New Roman"/>
          <w:sz w:val="28"/>
        </w:rPr>
        <w:footnoteReference w:id="21"/>
      </w:r>
      <w:r>
        <w:rPr>
          <w:rFonts w:ascii="Times New Roman" w:hAnsi="Times New Roman"/>
          <w:sz w:val="28"/>
        </w:rPr>
        <w:t xml:space="preserve"> участников в формах, после чего участники покидают аудиторию и в сопровождении организатора вне аудитории покидают ППЭ.</w:t>
      </w:r>
      <w:r>
        <w:rPr>
          <w:rFonts w:ascii="Times New Roman" w:hAnsi="Times New Roman"/>
          <w:sz w:val="26"/>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rPr>
      </w:r>
    </w:p>
    <w:p>
      <w:pPr>
        <w:pStyle w:val="Heading2"/>
        <w:spacing w:before="0" w:after="0"/>
        <w:contextualSpacing/>
        <w:jc w:val="center"/>
        <w:rPr>
          <w:rFonts w:ascii="Times New Roman" w:hAnsi="Times New Roman"/>
        </w:rPr>
      </w:pPr>
      <w:bookmarkStart w:id="13" w:name="__RefHeading___8"/>
      <w:bookmarkEnd w:id="13"/>
      <w:r>
        <w:rPr>
          <w:rFonts w:ascii="Times New Roman" w:hAnsi="Times New Roman"/>
        </w:rPr>
        <w:t>3.4. Завершение выполнения ЭР участниками экзаменов</w:t>
      </w:r>
    </w:p>
    <w:p>
      <w:pPr>
        <w:pStyle w:val="Normal"/>
        <w:spacing w:before="0" w:after="0"/>
        <w:contextualSpacing/>
        <w:jc w:val="center"/>
        <w:rPr>
          <w:rFonts w:ascii="Times New Roman" w:hAnsi="Times New Roman"/>
          <w:b/>
          <w:sz w:val="28"/>
        </w:rPr>
      </w:pPr>
      <w:r>
        <w:rPr>
          <w:rFonts w:ascii="Times New Roman" w:hAnsi="Times New Roman"/>
          <w:b/>
          <w:sz w:val="28"/>
        </w:rPr>
      </w:r>
    </w:p>
    <w:p>
      <w:pPr>
        <w:pStyle w:val="Normal"/>
        <w:spacing w:before="0" w:after="0"/>
        <w:ind w:firstLine="709" w:left="0" w:right="0"/>
        <w:contextualSpacing/>
        <w:jc w:val="both"/>
        <w:rPr>
          <w:rFonts w:ascii="Times New Roman" w:hAnsi="Times New Roman"/>
        </w:rPr>
      </w:pPr>
      <w:r>
        <w:rPr>
          <w:rFonts w:ascii="Times New Roman" w:hAnsi="Times New Roman"/>
          <w:b/>
          <w:sz w:val="28"/>
        </w:rPr>
        <w:t>3.4.1. Для слабовидящих участников экзаменов</w:t>
      </w:r>
      <w:r>
        <w:rPr>
          <w:rFonts w:ascii="Times New Roman" w:hAnsi="Times New Roman"/>
          <w:sz w:val="28"/>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а) организаторы в аудитории собирают использованные КИМ (стандартного размера и масштабированные до формата А3). Бланки регистрации, бланки ответов, ДБО (при их использовании) и черновики остаются на рабочих местах участников экзаменов; </w:t>
      </w:r>
    </w:p>
    <w:p>
      <w:pPr>
        <w:pStyle w:val="Normal"/>
        <w:spacing w:before="0" w:after="0"/>
        <w:ind w:firstLine="709" w:left="0" w:right="0"/>
        <w:contextualSpacing/>
        <w:jc w:val="both"/>
        <w:rPr>
          <w:rFonts w:ascii="Times New Roman" w:hAnsi="Times New Roman"/>
        </w:rPr>
      </w:pPr>
      <w:r>
        <w:rPr>
          <w:rFonts w:ascii="Times New Roman" w:hAnsi="Times New Roman"/>
          <w:sz w:val="28"/>
        </w:rPr>
        <w:t>б) в присутствии члена(-ов) ГЭК и общественных наблюдателей (при наличии) ассистенты переносят ответы с масштабированных до формата А3 бланков ответов, ДБО (при использовании), черновиков на бланки ответов, ДБО стандартного размера в ПОЛНОМ соответствии с ответами участников экзамена</w:t>
      </w:r>
      <w:r>
        <w:rPr>
          <w:rStyle w:val="FootnoteReference"/>
          <w:rFonts w:ascii="Times New Roman" w:hAnsi="Times New Roman"/>
          <w:sz w:val="28"/>
        </w:rPr>
        <w:footnoteReference w:id="22"/>
      </w:r>
      <w:r>
        <w:rPr>
          <w:rFonts w:ascii="Times New Roman" w:hAnsi="Times New Roman"/>
          <w:sz w:val="28"/>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При переносе ответов в поле «Подпись участника» ассистент пишет «Копия верна» и ставит свою подпись;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по окончании переноса ответов организатор в аудитории запечатывает бланки регистрации, бланки ответов, ДБО стандартного размера (при их использовании) в стандартные пакеты, масштабированные до формата А3 – в пакеты формата А3.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аудитории собранные материалы формируются следующим образом: </w:t>
      </w:r>
    </w:p>
    <w:p>
      <w:pPr>
        <w:pStyle w:val="Normal"/>
        <w:spacing w:before="0" w:after="0"/>
        <w:ind w:firstLine="709" w:left="0" w:right="0"/>
        <w:contextualSpacing/>
        <w:rPr>
          <w:rFonts w:ascii="Times New Roman" w:hAnsi="Times New Roman"/>
        </w:rPr>
      </w:pPr>
      <w:r>
        <w:rPr>
          <w:rFonts w:ascii="Times New Roman" w:hAnsi="Times New Roman"/>
          <w:sz w:val="28"/>
        </w:rPr>
        <w:t>бракованные (с нарушением комплектации и др.) ЭМ;</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использованные КИМ (масштабированные до формата А3 и стандартного размера);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использованные черновики;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запечатанные пакеты с бланками регистрации, бланками ответов, ДБО: масштабированными до формата А3 – в пакете формата А3, стандартного размера – в стандартном пакете.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Организатор в аудитории заполняет информацию на пакетах: наименование, адрес и номер ППЭ, номер аудитории, наименование и код учебного предмета, по которому проводился экзамен, количество материалов в пакете, ФИО ответственного организатора в аудитории.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3.4.2. Для слепых, поздноослепших, слабовидящих участников экзамена, владеющих шрифтом Брайля: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а) участники экзамена с помощью ассистентов должны сложить бланки регистрации, специальные тетради для записи ответов, дополнительный(-ые) лист (листы) для записи ответов по системе Брайля (при наличии), бланки ответов в конверт ИК, а КИМ и черновики положить на край рабочего стола;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б) организаторы в аудитории самостоятельно собирают со столов участников экзамена: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конверт ИК, содержащий бланки регистрации, специальные тетради для записи ответов, дополнительный(-ые) лист (листы) для записи ответов по системе Брайля (при наличии), бланки ответов;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КИМ;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черновики.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Организаторы в аудитории фиксируют на конверте ИК количество бланков регистрации, специальных тетрадей для записи ответов, дополнительного(-ых) листа (листов) для записи ответов по системе Брайля (при наличии), бланков ответов. </w:t>
      </w:r>
    </w:p>
    <w:p>
      <w:pPr>
        <w:pStyle w:val="Normal"/>
        <w:spacing w:before="0" w:after="0"/>
        <w:ind w:firstLine="709" w:left="0" w:right="0"/>
        <w:contextualSpacing/>
        <w:jc w:val="both"/>
        <w:rPr>
          <w:rFonts w:ascii="Times New Roman" w:hAnsi="Times New Roman"/>
        </w:rPr>
      </w:pPr>
      <w:r>
        <w:rPr>
          <w:rFonts w:ascii="Times New Roman" w:hAnsi="Times New Roman"/>
          <w:sz w:val="28"/>
        </w:rPr>
        <w:t>В случае принятия Министерством решения об организации работы Комиссии тифлопереводчиков организаторы в аудитории формируют материалы следующим образом: в отдельный пакет упаковываются конверты ИК; в отдельный пакет упаковываются бракованные (с нарушением комплектации и др.) ЭМ; в отдельный пакет упаковываются комплекты использованных КИМ. Все пакеты запечатываются передаются для дальнейшей обработки в РЦОИ. Использованные и неиспользованные черновики необходимо пересчитать. Использованные черновики упаковываются в конверт и запечатываются.</w:t>
      </w:r>
    </w:p>
    <w:p>
      <w:pPr>
        <w:pStyle w:val="Normal"/>
        <w:spacing w:before="0" w:after="0"/>
        <w:ind w:firstLine="709" w:left="0" w:right="0"/>
        <w:contextualSpacing/>
        <w:rPr>
          <w:rFonts w:ascii="Times New Roman" w:hAnsi="Times New Roman"/>
        </w:rPr>
      </w:pPr>
      <w:r>
        <w:rPr>
          <w:rFonts w:ascii="Times New Roman" w:hAnsi="Times New Roman"/>
          <w:sz w:val="28"/>
        </w:rPr>
        <w:t>Комиссия тифлопереводчиков организует работу в соответствии с Положением о Комиссии тифлопереводчиков (Приложение 1).</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Организатор в аудитории заполняет информацию на пакетах: наименование, адрес и номер ППЭ, номер аудитории, наименование и код учебного предмета, по которому проводился экзамен, количество материалов в пакете, ФИО ответственного организатора в аудитории.  </w:t>
      </w:r>
    </w:p>
    <w:p>
      <w:pPr>
        <w:pStyle w:val="Normal"/>
        <w:spacing w:before="0" w:after="0"/>
        <w:ind w:firstLine="709" w:left="0" w:right="0"/>
        <w:contextualSpacing/>
        <w:jc w:val="both"/>
        <w:rPr>
          <w:rFonts w:ascii="Times New Roman" w:hAnsi="Times New Roman"/>
        </w:rPr>
      </w:pPr>
      <w:r>
        <w:rPr>
          <w:rFonts w:ascii="Times New Roman" w:hAnsi="Times New Roman"/>
          <w:b/>
          <w:sz w:val="28"/>
        </w:rPr>
        <w:t>3.4.3. Для участников экзаменов, выполняющих письменную работу с использованием компьютера</w:t>
      </w:r>
      <w:r>
        <w:rPr>
          <w:rStyle w:val="FootnoteReference"/>
          <w:rFonts w:ascii="Times New Roman" w:hAnsi="Times New Roman"/>
          <w:sz w:val="28"/>
        </w:rPr>
        <w:footnoteReference w:id="23"/>
      </w:r>
      <w:r>
        <w:rPr>
          <w:rFonts w:ascii="Times New Roman" w:hAnsi="Times New Roman"/>
          <w:b/>
          <w:sz w:val="28"/>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а) организаторы в аудитории в присутствии участников экзаменов распечатывают их ответы с компьютера, пронумеровав листы и указав на каждом листе номер листа и общее количество листов в работе;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б) в присутствии члена(-ов) ГЭК и общественных наблюдателей (при наличии) ассистенты переносят в ПОЛНОМ соответствии ответы участников экзаменов, распечатанные с компьютера, в бланки ответов, ДБО (при необходимости);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при переносе ответов в бланки ответов в поле «Подпись участника» ассистент пишет «Копия верна» и ставит свою подпись; </w:t>
      </w:r>
    </w:p>
    <w:p>
      <w:pPr>
        <w:pStyle w:val="Normal"/>
        <w:spacing w:before="0" w:after="0"/>
        <w:ind w:firstLine="709" w:left="0" w:right="0"/>
        <w:contextualSpacing/>
        <w:jc w:val="both"/>
        <w:rPr>
          <w:rFonts w:ascii="Times New Roman" w:hAnsi="Times New Roman"/>
        </w:rPr>
      </w:pPr>
      <w:r>
        <w:rPr>
          <w:rFonts w:ascii="Times New Roman" w:hAnsi="Times New Roman"/>
          <w:sz w:val="28"/>
        </w:rPr>
        <w:t>г) по окончании переноса ассистентами ответов участников экзаменов в бланки регистрации, бланки ответов, ДБО организаторы в аудитории упаковывают и запечатывают в первый пакет бланки ответов, ДБО, во второй пакет – распечатанные с компьютера ответы участников экзаменов. В отдельный пакет упаковываются бракованные (с нарушением комплектации и др.) ЭМ, в отдельный пакет – комплекты использованных КИМ. Все пакеты запечатываются. Использованные и неиспользованные черновики необходимо пересчитать.</w:t>
      </w:r>
    </w:p>
    <w:p>
      <w:pPr>
        <w:pStyle w:val="Normal"/>
        <w:spacing w:before="0" w:after="0"/>
        <w:ind w:firstLine="709" w:left="0" w:right="0"/>
        <w:contextualSpacing/>
        <w:jc w:val="both"/>
        <w:rPr>
          <w:rFonts w:ascii="Times New Roman" w:hAnsi="Times New Roman"/>
        </w:rPr>
      </w:pPr>
      <w:r>
        <w:rPr>
          <w:rFonts w:ascii="Times New Roman" w:hAnsi="Times New Roman"/>
          <w:sz w:val="28"/>
        </w:rPr>
        <w:t>Организатор в аудитории заполняет информацию на пакетах: наименование, адрес и номер ППЭ, номер аудитории, наименование и код учебного предмета, по которому проводился экзамен, количество материалов в пакете, ФИО ответственного организатора в аудитории.</w:t>
      </w:r>
    </w:p>
    <w:p>
      <w:pPr>
        <w:pStyle w:val="Normal"/>
        <w:spacing w:before="0" w:after="0"/>
        <w:ind w:firstLine="709" w:left="0" w:right="0"/>
        <w:contextualSpacing/>
        <w:rPr>
          <w:rFonts w:ascii="Times New Roman" w:hAnsi="Times New Roman"/>
        </w:rPr>
      </w:pPr>
      <w:r>
        <w:rPr>
          <w:rFonts w:ascii="Times New Roman" w:hAnsi="Times New Roman"/>
        </w:rPr>
      </w:r>
    </w:p>
    <w:p>
      <w:pPr>
        <w:pStyle w:val="Heading2"/>
        <w:spacing w:before="0" w:after="0"/>
        <w:contextualSpacing/>
        <w:jc w:val="center"/>
        <w:rPr>
          <w:rFonts w:ascii="Times New Roman" w:hAnsi="Times New Roman"/>
        </w:rPr>
      </w:pPr>
      <w:bookmarkStart w:id="14" w:name="__RefHeading___9"/>
      <w:bookmarkEnd w:id="14"/>
      <w:r>
        <w:rPr>
          <w:rFonts w:ascii="Times New Roman" w:hAnsi="Times New Roman"/>
        </w:rPr>
        <w:t>4. Передача материалов экзамена руководителю ППЭ после проведения экзамена</w:t>
      </w:r>
    </w:p>
    <w:p>
      <w:pPr>
        <w:pStyle w:val="Normal"/>
        <w:spacing w:before="0" w:after="0"/>
        <w:contextualSpacing/>
        <w:rPr>
          <w:rFonts w:ascii="Times New Roman" w:hAnsi="Times New Roman"/>
          <w:b/>
          <w:sz w:val="28"/>
        </w:rPr>
      </w:pPr>
      <w:r>
        <w:rPr>
          <w:rFonts w:ascii="Times New Roman" w:hAnsi="Times New Roman"/>
          <w:b/>
          <w:sz w:val="28"/>
        </w:rPr>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Руководитель ППЭ в присутствии члена ГЭК после окончания экзамена получает от всех ответственных организаторов в аудитории в Штабе ППЭ: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1) из аудитории для слепых, поздноослепших, слабовидящих участников экзамена, владеющих шрифтом Брайля: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запечатанный пакет, в котором находятся конверты ИК, содержащие специальные тетради для записи ответов, дополнительный(-ые) лист (листы) для записи ответов по системе Брайля (при наличии), бланки регистрации, бланки ответов;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пакет с использованными КИМ;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пакет с бракованными (с нарушением комплектации и др.) ЭМ;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использованные черновики.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2) из аудитории для слабовидящих участников экзамена: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запечатанные пакеты с бланками регистрации, бланками ответов, ДБО (масштабированными до формата А3 – в пакете формата А3; стандартного размера – в стандартном пакете);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пакеты с использованными КИМ (масштабированными до формата А3 – в пакете формата А3; стандартного размера – в стандартном пакете);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пакеты с бракованными (с нарушением комплектации и др.) ЭМ;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использованные черновики. </w:t>
      </w:r>
    </w:p>
    <w:p>
      <w:pPr>
        <w:pStyle w:val="Normal"/>
        <w:spacing w:before="0" w:after="0"/>
        <w:ind w:firstLine="709" w:left="0" w:right="0"/>
        <w:contextualSpacing/>
        <w:jc w:val="both"/>
        <w:rPr>
          <w:rFonts w:ascii="Times New Roman" w:hAnsi="Times New Roman"/>
        </w:rPr>
      </w:pPr>
      <w:r>
        <w:rPr>
          <w:rFonts w:ascii="Times New Roman" w:hAnsi="Times New Roman"/>
          <w:b/>
          <w:sz w:val="28"/>
        </w:rPr>
        <w:t>3) из аудитории для участников экзамена, выполнявших письменную работу с использованием компьютера</w:t>
      </w:r>
      <w:r>
        <w:rPr>
          <w:rStyle w:val="FootnoteReference"/>
          <w:rFonts w:ascii="Times New Roman" w:hAnsi="Times New Roman"/>
          <w:b/>
          <w:sz w:val="28"/>
        </w:rPr>
        <w:footnoteReference w:id="24"/>
      </w:r>
      <w:r>
        <w:rPr>
          <w:rFonts w:ascii="Times New Roman" w:hAnsi="Times New Roman"/>
          <w:b/>
          <w:sz w:val="28"/>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запечатанный пакет с бланками регистрации, бланками ответов, ДБО;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запечатанный пакет с распечатанными с компьютеров ответами участников экзамена на задания КИМ;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использованные черновики. </w:t>
      </w:r>
    </w:p>
    <w:p>
      <w:pPr>
        <w:pStyle w:val="Normal"/>
        <w:spacing w:before="0" w:after="0"/>
        <w:ind w:firstLine="709" w:left="0" w:right="0"/>
        <w:contextualSpacing/>
        <w:jc w:val="both"/>
        <w:rPr>
          <w:rFonts w:ascii="Times New Roman" w:hAnsi="Times New Roman"/>
        </w:rPr>
      </w:pPr>
      <w:r>
        <w:rPr>
          <w:rFonts w:ascii="Times New Roman" w:hAnsi="Times New Roman"/>
          <w:sz w:val="28"/>
        </w:rPr>
        <w:t>Руководитель ППЭ передает члену ГЭК материалы экзамена, полученные из специализированных (отдельных) аудиторий, отдельно от ЭМ, полученных из остальных аудиторий ППЭ. Доставка материалов экзамена, полученных из специализированных (отдельных) аудиторий, сканируются и передаются в РЦОИ отдельно.</w:t>
      </w:r>
    </w:p>
    <w:p>
      <w:pPr>
        <w:pStyle w:val="Heading1"/>
        <w:widowControl/>
        <w:bidi w:val="0"/>
        <w:spacing w:lineRule="auto" w:line="240" w:before="0" w:after="0"/>
        <w:ind w:hanging="0" w:left="5726" w:right="0"/>
        <w:contextualSpacing/>
        <w:jc w:val="left"/>
        <w:rPr>
          <w:b w:val="false"/>
          <w:sz w:val="28"/>
        </w:rPr>
      </w:pPr>
      <w:r>
        <w:rPr>
          <w:rFonts w:ascii="Times New Roman" w:hAnsi="Times New Roman"/>
        </w:rPr>
      </w:r>
      <w:r>
        <w:br w:type="page"/>
      </w:r>
    </w:p>
    <w:p>
      <w:pPr>
        <w:pStyle w:val="Heading1"/>
        <w:widowControl/>
        <w:numPr>
          <w:ilvl w:val="0"/>
          <w:numId w:val="0"/>
        </w:numPr>
        <w:bidi w:val="0"/>
        <w:spacing w:lineRule="auto" w:line="240" w:before="0" w:after="0"/>
        <w:ind w:hanging="0" w:left="5726" w:right="0"/>
        <w:contextualSpacing/>
        <w:jc w:val="left"/>
        <w:rPr>
          <w:rFonts w:ascii="Times New Roman" w:hAnsi="Times New Roman"/>
        </w:rPr>
      </w:pPr>
      <w:bookmarkStart w:id="15" w:name="__RefHeading___10"/>
      <w:bookmarkEnd w:id="15"/>
      <w:r>
        <w:rPr>
          <w:rFonts w:ascii="Times New Roman" w:hAnsi="Times New Roman"/>
          <w:b w:val="false"/>
          <w:sz w:val="28"/>
        </w:rPr>
        <w:t>Приложение 1. Положение о Комиссии тифлопереводчиков</w:t>
      </w:r>
    </w:p>
    <w:p>
      <w:pPr>
        <w:pStyle w:val="Normal"/>
        <w:spacing w:before="0" w:after="0"/>
        <w:ind w:firstLine="567" w:left="0" w:right="0"/>
        <w:contextualSpacing/>
        <w:jc w:val="both"/>
        <w:rPr>
          <w:rFonts w:ascii="Times New Roman" w:hAnsi="Times New Roman"/>
          <w:b/>
          <w:sz w:val="28"/>
        </w:rPr>
      </w:pPr>
      <w:r>
        <w:rPr>
          <w:rFonts w:ascii="Times New Roman" w:hAnsi="Times New Roman"/>
          <w:b/>
          <w:sz w:val="28"/>
        </w:rPr>
      </w:r>
    </w:p>
    <w:p>
      <w:pPr>
        <w:pStyle w:val="Normal"/>
        <w:spacing w:before="0" w:after="0"/>
        <w:ind w:firstLine="567" w:left="0" w:right="0"/>
        <w:contextualSpacing/>
        <w:jc w:val="center"/>
        <w:rPr>
          <w:rFonts w:ascii="Times New Roman" w:hAnsi="Times New Roman"/>
        </w:rPr>
      </w:pPr>
      <w:r>
        <w:rPr>
          <w:rFonts w:ascii="Times New Roman" w:hAnsi="Times New Roman"/>
          <w:b/>
          <w:sz w:val="28"/>
        </w:rPr>
        <w:t>1. Общие положения</w:t>
      </w:r>
    </w:p>
    <w:p>
      <w:pPr>
        <w:pStyle w:val="Normal"/>
        <w:spacing w:before="0" w:after="0"/>
        <w:ind w:firstLine="567" w:left="0" w:right="0"/>
        <w:contextualSpacing/>
        <w:jc w:val="center"/>
        <w:rPr>
          <w:rFonts w:ascii="Times New Roman" w:hAnsi="Times New Roman"/>
          <w:b/>
          <w:sz w:val="28"/>
        </w:rPr>
      </w:pPr>
      <w:r>
        <w:rPr>
          <w:rFonts w:ascii="Times New Roman" w:hAnsi="Times New Roman"/>
          <w:b/>
          <w:sz w:val="28"/>
        </w:rPr>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1. Настоящее Положение определяет цели, состав и структуру Комиссии тифлопереводчиков, создаваемой в целях организации и проведения государственной итоговой аттестации по образовательным программам основного общего и среднего общего образования (далее – ГИА) для слепых, поздноослепших, слабовидящих участников экзамена, владеющих шрифтом Брайля (далее – Комиссия), ее полномочия и функции, права, обязанности и ответственность ее членов, а также порядок организации работы.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2. Координацию деятельности Комиссии Государственная экзаменационная комиссия Камчатского края по проведению государственной итоговой аттестации по образовательным программам основного общего образования (далее – ГЭК). ГЭК организует работу Комиссии совместно с КГАУ «Камчатский центр информатизации и оценки качества образования», выполняющий функции регионального центра обработки информации (далее – РЦОИ) и работниками пунктов проведения экзаменов (далее – ППЭ). </w:t>
      </w:r>
    </w:p>
    <w:p>
      <w:pPr>
        <w:pStyle w:val="Normal"/>
        <w:spacing w:before="0" w:after="0"/>
        <w:ind w:firstLine="709" w:left="0" w:right="0"/>
        <w:contextualSpacing/>
        <w:jc w:val="both"/>
        <w:rPr>
          <w:rFonts w:ascii="Times New Roman" w:hAnsi="Times New Roman"/>
        </w:rPr>
      </w:pPr>
      <w:r>
        <w:rPr>
          <w:rFonts w:ascii="Times New Roman" w:hAnsi="Times New Roman"/>
          <w:sz w:val="28"/>
        </w:rPr>
        <w:t>3. Комиссия в своей работе руководствуется Федеральным законом от 29 декабря 2012 г. № 273-ФЗ «Об образовании в Российской Федерации», Порядком проведения государственной итоговой аттестации по образовательным программам основного общего образования, утвержденным приказом Минпросвещения России и Рособрнадзора от 4 апреля 2023 г. № 232/551(далее – Порядок).</w:t>
      </w:r>
    </w:p>
    <w:p>
      <w:pPr>
        <w:pStyle w:val="Normal"/>
        <w:spacing w:before="0" w:after="0"/>
        <w:ind w:firstLine="709" w:left="0" w:right="0"/>
        <w:contextualSpacing/>
        <w:jc w:val="both"/>
        <w:rPr>
          <w:rFonts w:ascii="Times New Roman" w:hAnsi="Times New Roman"/>
          <w:sz w:val="28"/>
        </w:rPr>
      </w:pPr>
      <w:r>
        <w:rPr>
          <w:rFonts w:ascii="Times New Roman" w:hAnsi="Times New Roman"/>
          <w:sz w:val="28"/>
        </w:rPr>
      </w:r>
    </w:p>
    <w:p>
      <w:pPr>
        <w:pStyle w:val="Normal"/>
        <w:spacing w:before="0" w:after="0"/>
        <w:ind w:firstLine="709" w:left="0" w:right="0"/>
        <w:contextualSpacing/>
        <w:jc w:val="both"/>
        <w:rPr>
          <w:rFonts w:ascii="Times New Roman" w:hAnsi="Times New Roman"/>
          <w:sz w:val="28"/>
        </w:rPr>
      </w:pPr>
      <w:r>
        <w:rPr>
          <w:rFonts w:ascii="Times New Roman" w:hAnsi="Times New Roman"/>
          <w:sz w:val="28"/>
        </w:rPr>
      </w:r>
    </w:p>
    <w:p>
      <w:pPr>
        <w:pStyle w:val="ListParagraph1"/>
        <w:widowControl/>
        <w:numPr>
          <w:ilvl w:val="0"/>
          <w:numId w:val="1"/>
        </w:numPr>
        <w:tabs>
          <w:tab w:val="clear" w:pos="708"/>
          <w:tab w:val="left" w:pos="1200" w:leader="none"/>
        </w:tabs>
        <w:bidi w:val="0"/>
        <w:spacing w:lineRule="auto" w:line="240" w:before="0" w:after="0"/>
        <w:ind w:firstLine="737" w:left="0" w:right="0"/>
        <w:contextualSpacing/>
        <w:jc w:val="center"/>
        <w:rPr>
          <w:rFonts w:ascii="Times New Roman" w:hAnsi="Times New Roman"/>
        </w:rPr>
      </w:pPr>
      <w:r>
        <w:rPr>
          <w:rFonts w:ascii="Times New Roman" w:hAnsi="Times New Roman"/>
          <w:b/>
          <w:sz w:val="28"/>
        </w:rPr>
        <w:t>Организация работы Комиссии</w:t>
      </w:r>
    </w:p>
    <w:p>
      <w:pPr>
        <w:pStyle w:val="Normal"/>
        <w:spacing w:before="0" w:after="0"/>
        <w:ind w:firstLine="709" w:left="0" w:right="0"/>
        <w:contextualSpacing/>
        <w:jc w:val="both"/>
        <w:rPr>
          <w:rFonts w:ascii="Times New Roman" w:hAnsi="Times New Roman"/>
        </w:rPr>
      </w:pPr>
      <w:r>
        <w:rPr>
          <w:rFonts w:ascii="Times New Roman" w:hAnsi="Times New Roman"/>
        </w:rPr>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4. </w:t>
      </w:r>
      <w:r>
        <w:rPr>
          <w:rFonts w:ascii="Times New Roman" w:hAnsi="Times New Roman"/>
          <w:b/>
          <w:sz w:val="28"/>
        </w:rPr>
        <w:t xml:space="preserve">Структура и состав Комиссии.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состав Комиссии входит председатель Комиссии, заместитель председателя и тифлопереводчики. </w:t>
      </w:r>
    </w:p>
    <w:p>
      <w:pPr>
        <w:pStyle w:val="Normal"/>
        <w:spacing w:before="0" w:after="0"/>
        <w:ind w:firstLine="709" w:left="0" w:right="0"/>
        <w:contextualSpacing/>
        <w:jc w:val="both"/>
        <w:rPr>
          <w:rFonts w:ascii="Times New Roman" w:hAnsi="Times New Roman"/>
        </w:rPr>
      </w:pPr>
      <w:r>
        <w:rPr>
          <w:rFonts w:ascii="Times New Roman" w:hAnsi="Times New Roman"/>
          <w:sz w:val="28"/>
        </w:rPr>
        <w:t>Численный состав Комиссии определяется исходя из количества слепых участников ГИА (в соотношении один тифлопереводчик на одну экзаменационную работу</w:t>
      </w:r>
      <w:r>
        <w:rPr>
          <w:rStyle w:val="FootnoteReference"/>
          <w:rFonts w:ascii="Times New Roman" w:hAnsi="Times New Roman"/>
          <w:sz w:val="28"/>
        </w:rPr>
        <w:footnoteReference w:id="25"/>
      </w:r>
      <w:r>
        <w:rPr>
          <w:rFonts w:ascii="Times New Roman" w:hAnsi="Times New Roman"/>
          <w:sz w:val="28"/>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Комиссию в качестве тифлопереводчиков включаются педагогические работники организаций, осуществляющих образовательную деятельность, свободно владеющие техникой перевода рельефно-точечного шрифта Брайля на плоскопечатный вариант.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Состав Комиссии утверждается Министерством образования Камчатского края (далее – Министерство), по согласованию с ГЭК.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5. </w:t>
      </w:r>
      <w:r>
        <w:rPr>
          <w:rFonts w:ascii="Times New Roman" w:hAnsi="Times New Roman"/>
          <w:b/>
          <w:sz w:val="28"/>
        </w:rPr>
        <w:t xml:space="preserve">Полномочия, функции и организация работы Комиссии тифлопереводчиков. </w:t>
      </w:r>
    </w:p>
    <w:p>
      <w:pPr>
        <w:pStyle w:val="Normal"/>
        <w:spacing w:before="0" w:after="0"/>
        <w:ind w:firstLine="709" w:left="0" w:right="0"/>
        <w:contextualSpacing/>
        <w:jc w:val="both"/>
        <w:rPr>
          <w:rFonts w:ascii="Times New Roman" w:hAnsi="Times New Roman"/>
        </w:rPr>
      </w:pPr>
      <w:r>
        <w:rPr>
          <w:rFonts w:ascii="Times New Roman" w:hAnsi="Times New Roman"/>
          <w:sz w:val="28"/>
        </w:rPr>
        <w:t>Комиссия создается в целях организации и осуществления перевода экзаменационных работ слепых, поздноослепших, слабовидящих участников экзамена, владеющих шрифтом Брайля, с рельефно-точечного шрифта Брайля на плоскопечатный шрифт для последующей обработки в соответствии с Порядком.</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Комиссия работает в РЦОИ. Помещения, выделенные для работы Комиссии в РЦОИ, должны ограничивать доступ посторонних лиц и обеспечивать соблюдение режима информационной безопасности и надлежащих условий хранения документации, а также должны быть оснащены средствами видеонаблюдения.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Комиссия вправе принимать по согласованию с ГЭК решения по организации работы Комиссии в случае возникновения форс-мажорных ситуаций и иных непредвиденных обстоятельств, препятствующих продолжению работы Комиссии.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6. </w:t>
      </w:r>
      <w:r>
        <w:rPr>
          <w:rFonts w:ascii="Times New Roman" w:hAnsi="Times New Roman"/>
          <w:b/>
          <w:sz w:val="28"/>
        </w:rPr>
        <w:t xml:space="preserve">Функции, права и обязанности председателя Комиссии.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Комиссию возглавляет председатель, который организует ее работу и несет ответственность за своевременный и точный перевод ответов участников экзамена на плоскопечатный шрифт и перенос их на бланки ответов.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Председатель Комиссии в рамках своей компетенции подчиняется председателю и заместителю председателя ГЭК.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Функции председателя Комиссии: </w:t>
      </w:r>
    </w:p>
    <w:p>
      <w:pPr>
        <w:pStyle w:val="Normal"/>
        <w:spacing w:before="0" w:after="0"/>
        <w:ind w:firstLine="709" w:left="0" w:right="0"/>
        <w:contextualSpacing/>
        <w:jc w:val="both"/>
        <w:rPr>
          <w:rFonts w:ascii="Times New Roman" w:hAnsi="Times New Roman"/>
        </w:rPr>
      </w:pPr>
      <w:r>
        <w:rPr>
          <w:rFonts w:ascii="Times New Roman" w:hAnsi="Times New Roman"/>
          <w:sz w:val="28"/>
        </w:rPr>
        <w:t>а) подбор кандидатур и представление состава тифлопереводчиков на согласование ГЭК</w:t>
      </w:r>
      <w:r>
        <w:rPr>
          <w:rStyle w:val="FootnoteReference"/>
          <w:rFonts w:ascii="Times New Roman" w:hAnsi="Times New Roman"/>
          <w:sz w:val="28"/>
        </w:rPr>
        <w:footnoteReference w:id="26"/>
      </w:r>
      <w:r>
        <w:rPr>
          <w:rFonts w:ascii="Times New Roman" w:hAnsi="Times New Roman"/>
          <w:sz w:val="28"/>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б) распределение работ между тифлопереводчиками;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обеспечение своевременного и точного перевода;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г) обеспечение режима хранения и информационной безопасности при переводе работ, передача оригинальных экзаменационных работ, а также переведенных на плоскопечатный шрифт и перенесенных в бланки ответов, руководителю РЦОИ;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д) информирование ГЭК о ходе перевода экзаменационных работ и возникновении проблемных ситуаций.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Председатель Комиссии вправе: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а) давать указания тифлопереводчикам в рамках своих полномочий;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б) отстранять по согласованию с ГЭК тифлопереводчиков от участия в работе Комиссии в случае возникновения конфликтных ситуаций;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принимать по согласованию с ГЭК решения по организации работы Комиссии в случае возникновения форс-мажорных ситуаций и иных непредвиденных обстоятельств, препятствующих продолжению работы Комиссии. </w:t>
      </w:r>
    </w:p>
    <w:p>
      <w:pPr>
        <w:pStyle w:val="Normal"/>
        <w:spacing w:before="0" w:after="0"/>
        <w:ind w:firstLine="709" w:left="0" w:right="0"/>
        <w:contextualSpacing/>
        <w:jc w:val="both"/>
        <w:rPr>
          <w:rFonts w:ascii="Times New Roman" w:hAnsi="Times New Roman"/>
        </w:rPr>
      </w:pPr>
      <w:r>
        <w:rPr>
          <w:rFonts w:ascii="Times New Roman" w:hAnsi="Times New Roman"/>
          <w:b/>
          <w:sz w:val="28"/>
        </w:rPr>
        <w:t>Председатель Комиссии обязан:</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а) выполнять возложенные на него функции в соответствии с настоящим Положением;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б) соблюдать требования законодательных и иных нормативных правовых документов, регламентирующих порядок проведения ГИА;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обеспечить соблюдение конфиденциальности и режима информационной безопасности при переводе, хранении экзаменационных работ;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г) своевременно информировать ГЭК о возникающих проблемах и трудностях, которые могут привести к нарушению сроков перевода.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 </w:t>
      </w:r>
      <w:r>
        <w:rPr>
          <w:rFonts w:ascii="Times New Roman" w:hAnsi="Times New Roman"/>
          <w:b/>
          <w:sz w:val="28"/>
        </w:rPr>
        <w:t>7.</w:t>
        <w:tab/>
        <w:t>Функции заместителя председателя Комиссии.</w:t>
      </w:r>
    </w:p>
    <w:p>
      <w:pPr>
        <w:pStyle w:val="Normal"/>
        <w:spacing w:before="0" w:after="0"/>
        <w:ind w:firstLine="709" w:left="0" w:right="0"/>
        <w:contextualSpacing/>
        <w:jc w:val="both"/>
        <w:rPr>
          <w:rFonts w:ascii="Times New Roman" w:hAnsi="Times New Roman"/>
        </w:rPr>
      </w:pPr>
      <w:r>
        <w:rPr>
          <w:rFonts w:ascii="Times New Roman" w:hAnsi="Times New Roman"/>
          <w:sz w:val="28"/>
        </w:rPr>
        <w:t>Заместитель председателя Комиссии выполняет функции председателя Комиссии в случае его отсутствия.</w:t>
      </w:r>
    </w:p>
    <w:p>
      <w:pPr>
        <w:pStyle w:val="Normal"/>
        <w:spacing w:before="0" w:after="0"/>
        <w:ind w:firstLine="709" w:left="0" w:right="0"/>
        <w:contextualSpacing/>
        <w:jc w:val="both"/>
        <w:rPr>
          <w:rFonts w:ascii="Times New Roman" w:hAnsi="Times New Roman"/>
        </w:rPr>
      </w:pPr>
      <w:r>
        <w:rPr>
          <w:rFonts w:ascii="Times New Roman" w:hAnsi="Times New Roman"/>
          <w:sz w:val="28"/>
        </w:rPr>
        <w:t>8.</w:t>
        <w:tab/>
        <w:t xml:space="preserve">Функции, права и обязанности тифлопереводчика. </w:t>
      </w:r>
    </w:p>
    <w:p>
      <w:pPr>
        <w:pStyle w:val="Normal"/>
        <w:spacing w:before="0" w:after="0"/>
        <w:ind w:firstLine="709" w:left="0" w:right="0"/>
        <w:contextualSpacing/>
        <w:jc w:val="both"/>
        <w:rPr>
          <w:rFonts w:ascii="Times New Roman" w:hAnsi="Times New Roman"/>
        </w:rPr>
      </w:pPr>
      <w:r>
        <w:rPr>
          <w:rFonts w:ascii="Times New Roman" w:hAnsi="Times New Roman"/>
          <w:sz w:val="28"/>
        </w:rPr>
        <w:t>Тифлопереводчик должен:</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а) переносить ответ, записанный слепым, поздноослепшим, слабовидящим участником экзамена, владеющим шрифтом Брайля, в специальной тетради для записи ответов шрифтом Брайля, в бланки ответов, ДБО плоскопечатным шрифтом, </w:t>
      </w:r>
      <w:r>
        <w:rPr>
          <w:rFonts w:ascii="Times New Roman" w:hAnsi="Times New Roman"/>
          <w:b/>
          <w:sz w:val="28"/>
        </w:rPr>
        <w:t xml:space="preserve">точно </w:t>
      </w:r>
      <w:r>
        <w:rPr>
          <w:rFonts w:ascii="Times New Roman" w:hAnsi="Times New Roman"/>
          <w:sz w:val="28"/>
        </w:rPr>
        <w:t xml:space="preserve">скопировав авторскую орфографию, пунктуацию и стилистику;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б) учитывать, что участники экзаменов записывают ответы, располагая каждый ответ на отдельной строке. Строка-ответ содержит номер задания и номер ответа. При необходимости неверный ответ закалывается шестью точками. В качестве правильного ответа засчитывается последний ответ в строке. В случае повторного ответа на задание засчитывается последний ответ. Сочинение записывается, начиная с новой страницы специальной тетради для записи ответов;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при нехватке места на бланке ответов обратиться к руководителю РЦОИ, который выдаст ему ДБО в соответствии со схемой выдачи таких бланков в зависимости от формы экзамена.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г) соблюдать конфиденциальность и установленный порядок обеспечения информационной безопасности;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д) профессионально выполнять возложенные функции;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е) соблюдать этические и моральные нормы;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ж) информировать председателя Комиссии о проблемах, возникающих при переводе.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Тифлопереводчик может быть исключен из состава Комиссии в случаях: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а) предоставления о себе недостоверных сведений;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б) утери документов;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изменения содержания ответов участника экзамена информацией, которая может явиться причиной искажения результатов экзамена;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г) неисполнения или ненадлежащего исполнения возложенных на него обязанностей.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Решение об исключении тифлопереводчика из состава Комиссии принимается ГЭК на основании аргументированного представления председателя Комиссии. </w:t>
      </w:r>
    </w:p>
    <w:p>
      <w:pPr>
        <w:pStyle w:val="Normal"/>
        <w:spacing w:before="0" w:after="0"/>
        <w:ind w:firstLine="709" w:left="0" w:right="0"/>
        <w:contextualSpacing/>
        <w:jc w:val="both"/>
        <w:rPr>
          <w:rFonts w:ascii="Times New Roman" w:hAnsi="Times New Roman"/>
        </w:rPr>
      </w:pPr>
      <w:r>
        <w:rPr>
          <w:rFonts w:ascii="Times New Roman" w:hAnsi="Times New Roman"/>
          <w:sz w:val="28"/>
        </w:rPr>
        <w:t>В случае неисполнения или ненадлежащего исполнения возложенных на них обязанностей, несоблюдения требований нормативных правовых актов, нарушения требований конфиденциальности и информационной безопасности, а также злоупотребления установленными полномочиями, совершенными из корыстной или иной личной заинтересованности, члены Комиссии привлекаются к ответственности в установленном законодательством Российской Федерации порядке.</w:t>
      </w:r>
      <w:r>
        <w:br w:type="page"/>
      </w:r>
    </w:p>
    <w:p>
      <w:pPr>
        <w:pStyle w:val="Heading1"/>
        <w:spacing w:before="0" w:after="0"/>
        <w:ind w:hanging="0" w:left="5046" w:right="0"/>
        <w:contextualSpacing/>
        <w:rPr>
          <w:rFonts w:ascii="Times New Roman" w:hAnsi="Times New Roman"/>
        </w:rPr>
      </w:pPr>
      <w:bookmarkStart w:id="16" w:name="__RefHeading___11"/>
      <w:bookmarkEnd w:id="16"/>
      <w:r>
        <w:rPr>
          <w:rFonts w:ascii="Times New Roman" w:hAnsi="Times New Roman"/>
          <w:b w:val="false"/>
          <w:sz w:val="28"/>
        </w:rPr>
        <w:t>Приложение 2. Памятка для ассистентов слепых, поздноослепших и слабовидящих участников экзаменов по заполнению шрифтом Брайля специальных тетрадей для записи ответов</w:t>
      </w:r>
    </w:p>
    <w:p>
      <w:pPr>
        <w:pStyle w:val="Normal"/>
        <w:spacing w:before="0" w:after="0"/>
        <w:contextualSpacing/>
        <w:rPr>
          <w:rFonts w:ascii="Times New Roman" w:hAnsi="Times New Roman"/>
        </w:rPr>
      </w:pPr>
      <w:r>
        <w:rPr>
          <w:rFonts w:ascii="Times New Roman" w:hAnsi="Times New Roman"/>
        </w:rPr>
      </w:r>
    </w:p>
    <w:p>
      <w:pPr>
        <w:pStyle w:val="Normal"/>
        <w:spacing w:before="0" w:after="0"/>
        <w:ind w:firstLine="709" w:left="0" w:right="0"/>
        <w:contextualSpacing/>
        <w:jc w:val="both"/>
        <w:rPr>
          <w:rFonts w:ascii="Times New Roman" w:hAnsi="Times New Roman"/>
        </w:rPr>
      </w:pPr>
      <w:r>
        <w:rPr>
          <w:rFonts w:ascii="Times New Roman" w:hAnsi="Times New Roman"/>
          <w:sz w:val="28"/>
        </w:rPr>
        <w:t>Памятка для слепых, поздноослепших и слабовидящих участников экзаменов по заполнению шрифтом Брайля специальных тетрадей для записи ответов зачитывается участникам экзамена организаторами в аудитории перед экзаменом и выдается ассистентам.</w:t>
      </w:r>
    </w:p>
    <w:p>
      <w:pPr>
        <w:pStyle w:val="Normal"/>
        <w:spacing w:before="0" w:after="0"/>
        <w:ind w:firstLine="709" w:left="0" w:right="0"/>
        <w:contextualSpacing/>
        <w:jc w:val="both"/>
        <w:rPr>
          <w:rFonts w:ascii="Times New Roman" w:hAnsi="Times New Roman"/>
        </w:rPr>
      </w:pPr>
      <w:r>
        <w:rPr>
          <w:rFonts w:ascii="Times New Roman" w:hAnsi="Times New Roman"/>
          <w:sz w:val="28"/>
        </w:rPr>
        <w:t>Информация из данной памятки доступна участнику экзамена в виде Инструкции по заполнению тетради для записи ответов. Там же указаны особенности оформления экзаменационной работы по конкретному учебному предмету. Эта инструкция размещена в брошюре с КИМ сразу после Инструкции по выполнению работы.</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1. Ассистент вписывает в верхней части титульного листа тетради для ответов ФИО и данные участника экзамена из документа, удостоверяющего его личность;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2. Участник экзамена с использованием прибора и грифеля для письма по Брайлю или печатной брайлевской машинки пишет в тетради для ответов на первом листе после титульного листа, отпечатанного шрифтом Брайля, фамилию (с новой строки), имя (с новой строки), отчество (с новой строки) (при наличии), серию и номер документа, удостоверяющего личность (паспорта) (с новой строки).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3. Ответы пишутся с одной стороны листа, начиная со второго листа после титульного листа, отпечатанного шрифтом Брайля.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4. При выполнении заданий с кратким ответом необходимо записать номер задания и ответ, располагая каждый ответ на отдельной строке. Если одной строки недостаточно для записи ответа, нужно продолжить запись на следующей строке.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5. Между номером задания и ответом необходимо оставить интервал (пропустить одну клетку).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6. Если ответом должно быть слово, то нужно писать его в той форме, в которой данное слово стоит в предложении или указано в задании.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7. Все последовательности цифр и сочетания слов, являющиеся краткими ответами на задания, записываются в соответствии с образцами ответов, помещенными в Инструкции по выполнению работы, – без пробелов, запятых и других дополнительных символов. Цифры пишутся с цифровыми знаками.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8. Ответы на задания с развернутыми ответами записываются, начиная с новой страницы тетради для ответов.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9. Если участник экзамена ошибся, неверный ответ закалывается шеститочием. В качестве правильного ответа засчитывается последний ответ в строке. В случае повторного ответа на задание засчитывается последний ответ.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10. При выполнении заданий необходимо следовать инструкциям в КИМ. Тексты инструкций сдвинуты вправо на два знака. </w:t>
      </w:r>
      <w:r>
        <w:br w:type="page"/>
      </w:r>
    </w:p>
    <w:p>
      <w:pPr>
        <w:pStyle w:val="Heading1"/>
        <w:spacing w:before="0" w:after="0"/>
        <w:ind w:hanging="0" w:left="4025" w:right="0"/>
        <w:contextualSpacing/>
        <w:rPr>
          <w:rFonts w:ascii="Times New Roman" w:hAnsi="Times New Roman"/>
        </w:rPr>
      </w:pPr>
      <w:bookmarkStart w:id="17" w:name="__RefHeading___12"/>
      <w:bookmarkEnd w:id="17"/>
      <w:r>
        <w:rPr>
          <w:rFonts w:ascii="Times New Roman" w:hAnsi="Times New Roman"/>
          <w:b w:val="false"/>
          <w:sz w:val="28"/>
        </w:rPr>
        <w:t>Приложение 3. Памятка для организатора в аудитории для слепых, поздноослепших и слабовидящих участников экзаменов, выполняющих работу шрифтом Брайля</w:t>
      </w:r>
      <w:r>
        <w:rPr>
          <w:rStyle w:val="FootnoteReference"/>
          <w:rFonts w:ascii="Times New Roman" w:hAnsi="Times New Roman"/>
          <w:b w:val="false"/>
          <w:sz w:val="28"/>
        </w:rPr>
        <w:footnoteReference w:id="27"/>
      </w:r>
    </w:p>
    <w:p>
      <w:pPr>
        <w:pStyle w:val="Normal"/>
        <w:spacing w:before="0" w:after="0"/>
        <w:ind w:firstLine="709" w:left="0" w:right="0"/>
        <w:contextualSpacing/>
        <w:jc w:val="both"/>
        <w:rPr>
          <w:rFonts w:ascii="Times New Roman" w:hAnsi="Times New Roman"/>
          <w:b/>
          <w:sz w:val="28"/>
        </w:rPr>
      </w:pPr>
      <w:r>
        <w:rPr>
          <w:rFonts w:ascii="Times New Roman" w:hAnsi="Times New Roman"/>
          <w:b/>
          <w:sz w:val="28"/>
        </w:rPr>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Перед началом экзамена </w:t>
      </w:r>
      <w:r>
        <w:rPr>
          <w:rFonts w:ascii="Times New Roman" w:hAnsi="Times New Roman"/>
          <w:sz w:val="28"/>
        </w:rPr>
        <w:t xml:space="preserve">организаторы в аудитории: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а) получают у руководителя ППЭ формы ППЭ, в том числе с указанием ассистентов, распределенных в данный ППЭ;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б) получают у руководителя ППЭ напечатанную Памятку для ассистентов слепых и слабовидящих участников экзаменов по заполнению шрифтом Брайля специальных тетрадей для записи ответов;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проводят идентификацию личности по документу, удостоверяющему личность ассистента, сверив его данные с выданной формой при входе ассистента в аудиторию;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г) не позднее 09:45 по местному времени получают в Штабе ППЭ у руководителя ППЭ: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пакеты с ИК, содержащие в себе КИМ, напечатанные шрифтом Брайля, специальные тетради для записи ответов, бланки регистрации и бланки ответов;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черновики для письма шрифтом Брайля из расчета 10 листов на каждого участника экзамена;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дополнительные листы для записи ответов по системе Брайля (в случае нехватки места в специальной тетради для записи ответов);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пакеты для упаковки конвертов ИК (в случае принятия решения об организации работы Комиссии тифлопереводчиков в РЦОИ), бланков регистрации, бланков ответов, специальных тетрадей для записи ответов, бракованных (с нарушением комплектации и др.) ЭМ, использованных КИМ, конверты для упаковки черновиков;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При проведении экзамена в аудитории </w:t>
      </w:r>
      <w:r>
        <w:rPr>
          <w:rFonts w:ascii="Times New Roman" w:hAnsi="Times New Roman"/>
          <w:sz w:val="28"/>
        </w:rPr>
        <w:t xml:space="preserve">организаторы в аудитории должны: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а) проводят инструктаж участников экзамена. Инструктаж состоит из двух частей. Первая часть инструктажа, проводимая с 09:50, совпадает с первой частью Инструкции для участника экзамена, зачитываемой организатором в аудитории перед началом экзамена. Не ранее 10:00 по местному времени провести вторую часть инструктажа (Приложение к настоящим Инструкциям);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б) раздают «Памятку для ассистентов слепых и слабовидящих участников экзаменов по заполнению шрифтом Брайля тетрадей для ответов»;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раздают ЭМ в произвольном порядке; </w:t>
      </w:r>
    </w:p>
    <w:p>
      <w:pPr>
        <w:pStyle w:val="Normal"/>
        <w:widowControl w:val="false"/>
        <w:spacing w:before="0" w:after="0"/>
        <w:ind w:firstLine="709" w:left="0" w:right="0"/>
        <w:contextualSpacing/>
        <w:jc w:val="both"/>
        <w:rPr>
          <w:rFonts w:ascii="Times New Roman" w:hAnsi="Times New Roman"/>
        </w:rPr>
      </w:pPr>
      <w:r>
        <w:rPr>
          <w:rFonts w:ascii="Times New Roman" w:hAnsi="Times New Roman"/>
          <w:sz w:val="28"/>
        </w:rPr>
        <w:t xml:space="preserve">г) объявляют о начале экзамена и фиксируют время начала и окончания экзамена на классной доске (информационном стенде) после заполнения второй страницы специальной тетради для записи ответов, заполнения регистрационных полей всех бланков ответов всеми участниками экзамена (ассистентами) (время, отведенное на инструктаж и заполнение регистрационных полей бланков ответов, в общее время экзамена не включается);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д) выдают участнику экзамена дополнительный лист (листы) для записи ответов по системе Брайля в случае заполнения слепыми участниками экзамена всей специальной тетради для записи ответов. При этом участник экзамена пишет ФИО на верхней строке листа рельефно-точечным шрифтом Брайля, ассистент также пишет ФИО участника экзамена на дополнительном листе обычным способом;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е) объявляют каждый час время до конца экзамена;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ж) просят ассистентов вложить в конверт ИК специальные тетради для записи ответов, бланки регистрации, бланки ответов, дополнительные листы для записи ответов (при наличии) и собрать со столов участников экзамена: конверты ИК, содержащие специальные тетради для записи ответов, бланки ответов, дополнительные листы для записи ответов (при наличии); КИМ, черновики. Фиксируют на конверте ИК количество специальных тетрадей для записи ответов, бланков ответов, дополнительных листов для записи ответов (при наличии). В первый пакет упаковывают конверты ИК. Во второй пакет упаковывают бракованные (с нарушением комплектации и др.) ЭМ. В третий пакет упаковывают комплекты использованных КИМ. Все пакеты запечатывают. Использованные и неиспользованные черновики пересчитывают. Использованные черновики упаковывают в конверт и запечатывают; </w:t>
      </w:r>
    </w:p>
    <w:p>
      <w:pPr>
        <w:pStyle w:val="Normal"/>
        <w:widowControl w:val="false"/>
        <w:spacing w:before="0" w:after="0"/>
        <w:ind w:firstLine="709" w:left="0" w:right="0"/>
        <w:contextualSpacing/>
        <w:jc w:val="both"/>
        <w:rPr>
          <w:rFonts w:ascii="Times New Roman" w:hAnsi="Times New Roman"/>
        </w:rPr>
      </w:pPr>
      <w:r>
        <w:rPr>
          <w:rFonts w:ascii="Times New Roman" w:hAnsi="Times New Roman"/>
          <w:sz w:val="28"/>
        </w:rPr>
        <w:t>з) оформляют информацию на пакетах: наименование, адрес и номер ППЭ, номер аудитории, наименование и код учебного предмета, по которому проводился экзамен, количество материалов в пакете, ФИО ответственного организатора в аудитории.</w:t>
      </w:r>
    </w:p>
    <w:p>
      <w:pPr>
        <w:pStyle w:val="Normal"/>
        <w:spacing w:before="0" w:after="0"/>
        <w:ind w:firstLine="567" w:left="0" w:right="0"/>
        <w:contextualSpacing/>
        <w:jc w:val="both"/>
        <w:rPr>
          <w:rFonts w:ascii="Times New Roman" w:hAnsi="Times New Roman"/>
          <w:sz w:val="28"/>
        </w:rPr>
      </w:pPr>
      <w:r>
        <w:rPr>
          <w:rFonts w:ascii="Times New Roman" w:hAnsi="Times New Roman"/>
          <w:sz w:val="28"/>
        </w:rPr>
      </w:r>
      <w:r>
        <w:br w:type="page"/>
      </w:r>
    </w:p>
    <w:p>
      <w:pPr>
        <w:pStyle w:val="Heading1"/>
        <w:spacing w:before="0" w:after="0"/>
        <w:ind w:hanging="0" w:left="4819" w:right="0"/>
        <w:contextualSpacing/>
        <w:rPr>
          <w:rFonts w:ascii="Times New Roman" w:hAnsi="Times New Roman"/>
        </w:rPr>
      </w:pPr>
      <w:bookmarkStart w:id="18" w:name="__RefHeading___13"/>
      <w:bookmarkEnd w:id="18"/>
      <w:r>
        <w:rPr>
          <w:rFonts w:ascii="Times New Roman" w:hAnsi="Times New Roman"/>
          <w:b w:val="false"/>
          <w:sz w:val="28"/>
        </w:rPr>
        <w:t>Приложение 4. Памятка для организатора в аудитории для слабовидящих участников экзамена</w:t>
      </w:r>
      <w:r>
        <w:rPr>
          <w:rStyle w:val="FootnoteReference"/>
          <w:rFonts w:ascii="Times New Roman" w:hAnsi="Times New Roman"/>
          <w:b w:val="false"/>
          <w:sz w:val="28"/>
        </w:rPr>
        <w:footnoteReference w:id="28"/>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Перед началом экзамена </w:t>
      </w:r>
      <w:r>
        <w:rPr>
          <w:rFonts w:ascii="Times New Roman" w:hAnsi="Times New Roman"/>
          <w:sz w:val="28"/>
        </w:rPr>
        <w:t>организаторы в аудитории</w:t>
      </w:r>
      <w:r>
        <w:rPr>
          <w:rFonts w:ascii="Times New Roman" w:hAnsi="Times New Roman"/>
          <w:b/>
          <w:sz w:val="28"/>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а) получают у руководителя ППЭ формы ППЭ, в том числе с указанием ассистентов, распределенных в данный ППЭ;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б) проводят идентификацию личности ассистента по документу, удостоверяющего личность, сверив его данные с выданной руководителем ППЭ формой при входе ассистента в аудиторию;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масштабируют до формата А3 ЭМ (при необходимости) в присутствии участников экзаменов, пригласив предварительно в аудиторию члена ГЭК (через организатора вне аудитории);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Важно! </w:t>
      </w:r>
      <w:r>
        <w:rPr>
          <w:rFonts w:ascii="Times New Roman" w:hAnsi="Times New Roman"/>
          <w:sz w:val="28"/>
        </w:rPr>
        <w:t xml:space="preserve">Масштабирование производится не ранее 10:00 по местному времени под контролем члена(-ов) ГЭК.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г) раздают ЭМ масштабированные и стандартного размера участкам экзамена произвольном порядке.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После окончания экзамена в аудитории </w:t>
      </w:r>
      <w:r>
        <w:rPr>
          <w:rFonts w:ascii="Times New Roman" w:hAnsi="Times New Roman"/>
          <w:sz w:val="28"/>
        </w:rPr>
        <w:t xml:space="preserve">организаторы в аудитории должны: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а) собирают использованные КИМ (стандартного размера и масштабированные до формата А3);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б) упаковывают и запечатывают использованные КИМ стандартного размера в стандартный пакет. Масштабированные до формата А3 КИМ – в пакет формата А3;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упаковывают и запечатывают в пакет бракованные (с нарушением комплектации и др.) ЭМ;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г) упаковывают и запечатывают в конверт использованные черновики.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д) приглашают через организатора вне аудитории члена ГЭК, общественных наблюдателей (при наличии) для контроля переноса ответов участников экзаменов в бланки стандартного размера;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е) присутствуют при переносе ассистентами ответов участников экзамена из масштабированных бланков в бланки стандартного размера, при необходимости выдают ассистентам ДБО по схеме, соответствующей форме экзамена; </w:t>
      </w:r>
    </w:p>
    <w:p>
      <w:pPr>
        <w:pStyle w:val="Normal"/>
        <w:spacing w:before="0" w:after="0"/>
        <w:ind w:firstLine="709" w:left="0" w:right="0"/>
        <w:contextualSpacing/>
        <w:jc w:val="both"/>
        <w:rPr>
          <w:rFonts w:ascii="Times New Roman" w:hAnsi="Times New Roman"/>
        </w:rPr>
      </w:pPr>
      <w:r>
        <w:rPr>
          <w:rFonts w:ascii="Times New Roman" w:hAnsi="Times New Roman"/>
          <w:sz w:val="28"/>
        </w:rPr>
        <w:t>ж) по окончании переноса ответов участников экзаменов ассистентами упаковывают и запечатывают</w:t>
      </w:r>
      <w:r>
        <w:rPr>
          <w:rFonts w:ascii="Times New Roman" w:hAnsi="Times New Roman"/>
          <w:color w:val="000000"/>
          <w:sz w:val="22"/>
        </w:rPr>
        <w:t xml:space="preserve"> </w:t>
      </w:r>
      <w:r>
        <w:rPr>
          <w:rFonts w:ascii="Times New Roman" w:hAnsi="Times New Roman"/>
          <w:sz w:val="28"/>
        </w:rPr>
        <w:t xml:space="preserve">бланки   регистрации, бланки ответов, ДБО стандартного размера в стандартный пакет, масштабированные до формата А3 – в конверты формата А3; </w:t>
      </w:r>
    </w:p>
    <w:p>
      <w:pPr>
        <w:pStyle w:val="Normal"/>
        <w:spacing w:before="0" w:after="0"/>
        <w:ind w:firstLine="709" w:left="0" w:right="0"/>
        <w:contextualSpacing/>
        <w:jc w:val="both"/>
        <w:rPr>
          <w:rFonts w:ascii="Times New Roman" w:hAnsi="Times New Roman"/>
        </w:rPr>
      </w:pPr>
      <w:r>
        <w:rPr>
          <w:rFonts w:ascii="Times New Roman" w:hAnsi="Times New Roman"/>
          <w:sz w:val="28"/>
        </w:rPr>
        <w:t>з) заполняют информацию на пакетах: наименование, адрес и номер ППЭ, номер аудитории, наименование и код учебного предмета, по которому проводился экзамен, количество материалов в пакете, ФИО ответственного организатора в аудитории.</w:t>
      </w:r>
      <w:r>
        <w:br w:type="page"/>
      </w:r>
    </w:p>
    <w:p>
      <w:pPr>
        <w:pStyle w:val="Heading1"/>
        <w:spacing w:before="0" w:after="0"/>
        <w:ind w:hanging="0" w:left="5046" w:right="0"/>
        <w:contextualSpacing/>
        <w:rPr>
          <w:rFonts w:ascii="Times New Roman" w:hAnsi="Times New Roman"/>
        </w:rPr>
      </w:pPr>
      <w:bookmarkStart w:id="19" w:name="__RefHeading___14"/>
      <w:bookmarkEnd w:id="19"/>
      <w:r>
        <w:rPr>
          <w:rFonts w:ascii="Times New Roman" w:hAnsi="Times New Roman"/>
          <w:b w:val="false"/>
          <w:sz w:val="28"/>
        </w:rPr>
        <w:t>Приложение 5. Памятка для руководителя ППЭ</w:t>
      </w:r>
      <w:r>
        <w:rPr>
          <w:rStyle w:val="FootnoteReference"/>
          <w:rFonts w:ascii="Times New Roman" w:hAnsi="Times New Roman"/>
          <w:b w:val="false"/>
          <w:sz w:val="28"/>
        </w:rPr>
        <w:footnoteReference w:id="29"/>
      </w:r>
    </w:p>
    <w:p>
      <w:pPr>
        <w:pStyle w:val="Normal"/>
        <w:spacing w:before="0" w:after="0"/>
        <w:ind w:firstLine="709" w:left="0" w:right="0"/>
        <w:contextualSpacing/>
        <w:jc w:val="both"/>
        <w:rPr>
          <w:b/>
          <w:sz w:val="28"/>
        </w:rPr>
      </w:pPr>
      <w:r>
        <w:rPr>
          <w:rFonts w:ascii="Times New Roman" w:hAnsi="Times New Roman"/>
        </w:rPr>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При подготовке к проведению экзаменов в ППЭ </w:t>
      </w:r>
      <w:r>
        <w:rPr>
          <w:rFonts w:ascii="Times New Roman" w:hAnsi="Times New Roman"/>
          <w:sz w:val="28"/>
        </w:rPr>
        <w:t xml:space="preserve">руководитель ППЭ: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а) получает не позднее двух рабочих дней до проведения экзамена по соответствующему учебному предмету информацию из Министерства о количестве и о необходимости организации проведения экзаменов в условиях, учитывающих состояние здоровья, особенности психофизического развития участников экзаменов в ППЭ;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б) обеспечивает (совместно с руководителем образовательной организации, медицинской организации, на базе которой организован ППЭ) готовность помещений и аудиторий к проведению ГИА для участников экзаменов в соответствии с особенностями организации аудиторий ППЭ, изложенными в настоящих Инструкциях, в том числе техническое оснащение.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В день проведения экзамена в ППЭ </w:t>
      </w:r>
      <w:r>
        <w:rPr>
          <w:rFonts w:ascii="Times New Roman" w:hAnsi="Times New Roman"/>
          <w:sz w:val="28"/>
        </w:rPr>
        <w:t xml:space="preserve">руководитель ППЭ должен: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а) </w:t>
      </w:r>
      <w:r>
        <w:rPr>
          <w:rFonts w:ascii="Times New Roman" w:hAnsi="Times New Roman"/>
          <w:b/>
          <w:sz w:val="28"/>
        </w:rPr>
        <w:t xml:space="preserve">не ранее 08:15 по местному времени </w:t>
      </w:r>
      <w:r>
        <w:rPr>
          <w:rFonts w:ascii="Times New Roman" w:hAnsi="Times New Roman"/>
          <w:sz w:val="28"/>
        </w:rPr>
        <w:t xml:space="preserve">начинает проведение инструктажа по процедуре проведения экзамена для работников ППЭ, выдает ответственному организатору, распределенному в специализированную (отдельную) аудиторию, список ассистентов, распределенных в данный ППЭ;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б) выдает организатору в аудитории напечатанные Памятки для ассистентов слепых и слабовидящих участников экзаменов по заполнению шрифтом Брайля специальных тетрадей для записи ответов (по количеству участников экзамена в аудитории, где проводится экзамен для слепых, поздноослепших и слабовидящих участников экзаменов, владеющих шрифтом Брайля);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 выдает организатору в аудитории напечатанные Инструкции для участников экзаменов, зачитываемые организатором в аудитории перед началом экзамена (по количеству участников экзамена в аудитории, где проводится экзамен для глухих, слабослышащих, позднооглохших и кохлеарно имплантированных участников экзамена, участников экзамена с расстройствами аутистического спектра);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г) выдает организатору в аудитории напечатанные Правила по заполнению бланков (по количеству участников экзамена в аудитории, где проводится экзамен для глухих, слабослышащих, позднооглохших и кохлеарно имплантированных участников экзамена, участников экзамена с расстройствами аутистического спектра);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д) </w:t>
      </w:r>
      <w:r>
        <w:rPr>
          <w:rFonts w:ascii="Times New Roman" w:hAnsi="Times New Roman"/>
          <w:b/>
          <w:sz w:val="28"/>
        </w:rPr>
        <w:t xml:space="preserve">не ранее 09:45 по местному времени </w:t>
      </w:r>
      <w:r>
        <w:rPr>
          <w:rFonts w:ascii="Times New Roman" w:hAnsi="Times New Roman"/>
          <w:sz w:val="28"/>
        </w:rPr>
        <w:t xml:space="preserve">выдает доставочные спецпакеты с ИК, содержащие в себе КИМ, напечатанные шрифтом Брайля, специальные тетради для записи ответов, бланки регистрации и бланки ответов; все ЭМ, технология доставки которых отличается от доставки ЭМ посредством сети «Интернет» в электронном и зашифрованном виде; </w:t>
      </w:r>
    </w:p>
    <w:p>
      <w:pPr>
        <w:pStyle w:val="Normal"/>
        <w:spacing w:before="0" w:after="0"/>
        <w:ind w:firstLine="709" w:left="0" w:right="0"/>
        <w:contextualSpacing/>
        <w:jc w:val="both"/>
        <w:rPr>
          <w:rFonts w:ascii="Times New Roman" w:hAnsi="Times New Roman"/>
        </w:rPr>
      </w:pPr>
      <w:r>
        <w:rPr>
          <w:rFonts w:ascii="Times New Roman" w:hAnsi="Times New Roman"/>
          <w:sz w:val="28"/>
        </w:rPr>
        <w:t>е) черновики для письма шрифтом Брайля из расчета 10 листов на каждого участника экзамена;</w:t>
      </w:r>
      <w:r>
        <w:rPr>
          <w:rFonts w:ascii="Times New Roman" w:hAnsi="Times New Roman"/>
          <w:sz w:val="26"/>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ж) дополнительные листы для записи ответов по системе Брайля.</w:t>
      </w:r>
      <w:r>
        <w:rPr>
          <w:rFonts w:ascii="Times New Roman" w:hAnsi="Times New Roman"/>
          <w:b/>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з) пакеты для упаковки конвертов ИК, бланков регистрации, бланков    ответов, специальных тетрадей для записи ответов, бракованных (с нарушением комплектации и др.) ЭМ, использованных КИМ;</w:t>
      </w:r>
    </w:p>
    <w:p>
      <w:pPr>
        <w:pStyle w:val="Normal"/>
        <w:spacing w:before="0" w:after="0"/>
        <w:ind w:firstLine="709" w:left="0" w:right="0"/>
        <w:contextualSpacing/>
        <w:jc w:val="both"/>
        <w:rPr>
          <w:rFonts w:ascii="Times New Roman" w:hAnsi="Times New Roman"/>
        </w:rPr>
      </w:pPr>
      <w:r>
        <w:rPr>
          <w:rFonts w:ascii="Times New Roman" w:hAnsi="Times New Roman"/>
          <w:sz w:val="28"/>
        </w:rPr>
        <w:t>и) конверт для упаковки черновиков.</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На этапе завершения экзамена в ППЭ </w:t>
      </w:r>
      <w:r>
        <w:rPr>
          <w:rFonts w:ascii="Times New Roman" w:hAnsi="Times New Roman"/>
          <w:sz w:val="28"/>
        </w:rPr>
        <w:t xml:space="preserve">руководитель ППЭ: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а) получает в Штабе ППЭ за специально подготовленным столом, находящимся в зоне видимости камер видеонаблюдения, в присутствии члена(-ов) ГЭК: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из аудитории для слепых, поздноослепших, слабовидящих участников экзамена, владеющих шрифтом Брайля: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запечатанный пакет, в котором находятся конверты ИК, содержащие специальные тетради для записи ответов, дополнительный(-ые) лист (листы) для записи ответов для письма по системе Брайля (при наличии), бланки регистрации, бланки ответов;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пакет с использованными КИМ;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пакет с бракованными (с нарушением комплектации и др.) ЭМ;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использованные черновики.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Из аудитории для слабовидящих участников экзамена: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запечатанный стандартный пакет с бланками регистрации, бланками ответов, ДБО стандартного размера;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запечатанный пакет А3 с масштабированными до формата А3 бланками ответов, ДБО;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пакет с использованными КИМ стандартного размера;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пакет А3 с использованными масштабированными до формата А3 КИМ;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пакет с бракованными (с нарушением комплектации и др.) ЭМ;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черновики. </w:t>
      </w:r>
    </w:p>
    <w:p>
      <w:pPr>
        <w:pStyle w:val="Normal"/>
        <w:spacing w:before="0" w:after="0"/>
        <w:ind w:firstLine="709" w:left="0" w:right="0"/>
        <w:contextualSpacing/>
        <w:jc w:val="both"/>
        <w:rPr>
          <w:rFonts w:ascii="Times New Roman" w:hAnsi="Times New Roman"/>
        </w:rPr>
      </w:pPr>
      <w:r>
        <w:rPr>
          <w:rFonts w:ascii="Times New Roman" w:hAnsi="Times New Roman"/>
          <w:sz w:val="28"/>
        </w:rPr>
        <w:t>Из аудитории для участников экзамена, выполнявших письменную работу с использованием компьютера</w:t>
      </w:r>
      <w:r>
        <w:rPr>
          <w:rStyle w:val="FootnoteReference"/>
          <w:rFonts w:ascii="Times New Roman" w:hAnsi="Times New Roman"/>
          <w:b/>
          <w:sz w:val="28"/>
        </w:rPr>
        <w:footnoteReference w:id="30"/>
      </w:r>
      <w:r>
        <w:rPr>
          <w:rFonts w:ascii="Times New Roman" w:hAnsi="Times New Roman"/>
          <w:b/>
          <w:sz w:val="28"/>
        </w:rPr>
        <w:t xml:space="preserve">: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запечатанный пакет с бланками регистрации, бланками ответов, ДБО;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запечатанный пакет с распечатанными с компьютеров ответами участников экзамена на задания КИМ; </w:t>
      </w:r>
    </w:p>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использованные черновики; </w:t>
      </w:r>
    </w:p>
    <w:p>
      <w:pPr>
        <w:pStyle w:val="Normal"/>
        <w:spacing w:before="0" w:after="0"/>
        <w:ind w:firstLine="709" w:left="0" w:right="0"/>
        <w:contextualSpacing/>
        <w:jc w:val="both"/>
        <w:rPr>
          <w:rFonts w:ascii="Times New Roman" w:hAnsi="Times New Roman"/>
        </w:rPr>
      </w:pPr>
      <w:r>
        <w:rPr>
          <w:rFonts w:ascii="Times New Roman" w:hAnsi="Times New Roman"/>
          <w:sz w:val="28"/>
        </w:rPr>
        <w:t>б) передает члену(-ам) ГЭК материалы из специализированных (отдельных) аудиторий отдельно от материалов, полученных из остальных аудиторий ППЭ.</w:t>
      </w:r>
    </w:p>
    <w:p>
      <w:pPr>
        <w:pStyle w:val="Normal"/>
        <w:spacing w:before="0" w:after="0"/>
        <w:ind w:firstLine="709" w:left="0" w:right="0"/>
        <w:contextualSpacing/>
        <w:jc w:val="both"/>
        <w:rPr>
          <w:rFonts w:ascii="Times New Roman" w:hAnsi="Times New Roman"/>
          <w:b/>
        </w:rPr>
      </w:pPr>
      <w:r>
        <w:rPr>
          <w:rFonts w:ascii="Times New Roman" w:hAnsi="Times New Roman"/>
          <w:b/>
        </w:rPr>
      </w:r>
    </w:p>
    <w:p>
      <w:pPr>
        <w:pStyle w:val="Normal"/>
        <w:spacing w:before="0" w:after="0"/>
        <w:ind w:firstLine="709" w:left="0" w:right="0"/>
        <w:contextualSpacing/>
        <w:jc w:val="both"/>
        <w:rPr>
          <w:rFonts w:ascii="Times New Roman" w:hAnsi="Times New Roman"/>
          <w:b/>
        </w:rPr>
      </w:pPr>
      <w:r>
        <w:rPr>
          <w:rFonts w:ascii="Times New Roman" w:hAnsi="Times New Roman"/>
          <w:b/>
        </w:rPr>
      </w:r>
      <w:r>
        <w:br w:type="page"/>
      </w:r>
    </w:p>
    <w:p>
      <w:pPr>
        <w:pStyle w:val="Heading1"/>
        <w:spacing w:before="0" w:after="0"/>
        <w:ind w:hanging="0" w:left="6236" w:right="0"/>
        <w:contextualSpacing/>
        <w:jc w:val="left"/>
        <w:rPr>
          <w:rFonts w:ascii="Times New Roman" w:hAnsi="Times New Roman"/>
        </w:rPr>
      </w:pPr>
      <w:bookmarkStart w:id="20" w:name="__RefHeading___15"/>
      <w:bookmarkEnd w:id="20"/>
      <w:r>
        <w:rPr>
          <w:rFonts w:ascii="Times New Roman" w:hAnsi="Times New Roman"/>
          <w:b w:val="false"/>
          <w:sz w:val="28"/>
        </w:rPr>
        <w:t>Приложение 6. Памятка для члена ГЭК</w:t>
      </w:r>
      <w:r>
        <w:rPr>
          <w:rStyle w:val="FootnoteReference"/>
          <w:rFonts w:ascii="Times New Roman" w:hAnsi="Times New Roman"/>
          <w:b w:val="false"/>
          <w:sz w:val="28"/>
        </w:rPr>
        <w:footnoteReference w:id="31"/>
      </w:r>
    </w:p>
    <w:p>
      <w:pPr>
        <w:pStyle w:val="Normal"/>
        <w:widowControl w:val="false"/>
        <w:spacing w:before="0" w:after="0"/>
        <w:ind w:firstLine="567" w:left="0" w:right="0"/>
        <w:contextualSpacing/>
        <w:jc w:val="both"/>
        <w:rPr>
          <w:b/>
          <w:sz w:val="28"/>
        </w:rPr>
      </w:pPr>
      <w:r>
        <w:rPr>
          <w:rFonts w:ascii="Times New Roman" w:hAnsi="Times New Roman"/>
        </w:rPr>
      </w:r>
    </w:p>
    <w:p>
      <w:pPr>
        <w:pStyle w:val="Normal"/>
        <w:widowControl w:val="false"/>
        <w:spacing w:before="0" w:after="0"/>
        <w:ind w:firstLine="567" w:left="0" w:right="0"/>
        <w:contextualSpacing/>
        <w:jc w:val="both"/>
        <w:rPr>
          <w:rFonts w:ascii="Times New Roman" w:hAnsi="Times New Roman"/>
        </w:rPr>
      </w:pPr>
      <w:r>
        <w:rPr>
          <w:rFonts w:ascii="Times New Roman" w:hAnsi="Times New Roman"/>
          <w:b/>
          <w:sz w:val="28"/>
        </w:rPr>
        <w:t>На этапе проведения экзамена член ГЭК:</w:t>
      </w:r>
    </w:p>
    <w:p>
      <w:pPr>
        <w:pStyle w:val="Normal"/>
        <w:spacing w:before="0" w:after="0"/>
        <w:ind w:firstLine="567" w:left="0" w:right="0"/>
        <w:contextualSpacing/>
        <w:rPr>
          <w:rFonts w:ascii="Times New Roman" w:hAnsi="Times New Roman"/>
        </w:rPr>
      </w:pPr>
      <w:r>
        <w:rPr>
          <w:rFonts w:ascii="Times New Roman" w:hAnsi="Times New Roman"/>
          <w:sz w:val="28"/>
        </w:rPr>
        <w:t>присутствует при масштабировании КИМ, бланков ОГЭ стандартного размера в формат А3 из каждого ИК (для слабовидящих участников экзамена);</w:t>
      </w:r>
    </w:p>
    <w:p>
      <w:pPr>
        <w:pStyle w:val="Normal"/>
        <w:spacing w:before="0" w:after="0"/>
        <w:ind w:firstLine="567" w:left="0" w:right="0"/>
        <w:contextualSpacing/>
        <w:rPr>
          <w:rFonts w:ascii="Times New Roman" w:hAnsi="Times New Roman"/>
        </w:rPr>
      </w:pPr>
      <w:r>
        <w:rPr>
          <w:rFonts w:ascii="Times New Roman" w:hAnsi="Times New Roman"/>
          <w:sz w:val="28"/>
        </w:rPr>
        <w:t xml:space="preserve">присутствует при настройке и подготовке звукоусиливающей аппаратуры к работе (для слабослышащих, позднооглохших и кохлеарно имплантированных участников экзаменов). </w:t>
      </w:r>
    </w:p>
    <w:p>
      <w:pPr>
        <w:pStyle w:val="Normal"/>
        <w:widowControl w:val="false"/>
        <w:spacing w:before="0" w:after="0"/>
        <w:ind w:firstLine="567" w:left="0" w:right="0"/>
        <w:contextualSpacing/>
        <w:jc w:val="both"/>
        <w:rPr>
          <w:rFonts w:ascii="Times New Roman" w:hAnsi="Times New Roman"/>
        </w:rPr>
      </w:pPr>
      <w:r>
        <w:rPr>
          <w:rFonts w:ascii="Times New Roman" w:hAnsi="Times New Roman"/>
          <w:b/>
          <w:sz w:val="28"/>
        </w:rPr>
        <w:t>На завершающем этапе проведения экзамена член ГЭК:</w:t>
      </w:r>
    </w:p>
    <w:p>
      <w:pPr>
        <w:pStyle w:val="Normal"/>
        <w:widowControl w:val="false"/>
        <w:spacing w:before="0" w:after="0"/>
        <w:ind w:firstLine="567" w:left="0" w:right="0"/>
        <w:contextualSpacing/>
        <w:jc w:val="both"/>
        <w:rPr>
          <w:rFonts w:ascii="Times New Roman" w:hAnsi="Times New Roman"/>
        </w:rPr>
      </w:pPr>
      <w:r>
        <w:rPr>
          <w:rFonts w:ascii="Times New Roman" w:hAnsi="Times New Roman"/>
          <w:sz w:val="28"/>
        </w:rPr>
        <w:t xml:space="preserve">в случае проведения экзамена в специализированной (отдельной) аудитории ППЭ получает по окончании экзамена от руководителя ППЭ материалы из специализированной (отдельной) аудитории и передает материалы в РЦОИ отдельно от материалов, сданных из ППЭ для основной части участников экзамена. Передача ЭМ из ППЭ в РЦОИ производится незамедлительно по окончании процедуры сбора и оформления документов (в соответствии с организационно-технологической схемой проведения ГИА); </w:t>
      </w:r>
    </w:p>
    <w:p>
      <w:pPr>
        <w:pStyle w:val="Normal"/>
        <w:spacing w:before="0" w:after="0"/>
        <w:ind w:firstLine="567" w:left="0" w:right="0"/>
        <w:contextualSpacing/>
        <w:rPr>
          <w:rFonts w:ascii="Times New Roman" w:hAnsi="Times New Roman"/>
        </w:rPr>
      </w:pPr>
      <w:r>
        <w:rPr>
          <w:rFonts w:ascii="Times New Roman" w:hAnsi="Times New Roman"/>
          <w:sz w:val="28"/>
        </w:rPr>
        <w:t>в случае использования масштабированных до формата А3- бланков ОГЭ контролирует в аудитории, где проходил экзамен для слабовидящих участников экзамена, перенос ассистентами информации с масштабированных бланков ответов ОГЭ на бланки стандартного размера;</w:t>
      </w:r>
    </w:p>
    <w:p>
      <w:pPr>
        <w:pStyle w:val="Normal"/>
        <w:widowControl w:val="false"/>
        <w:tabs>
          <w:tab w:val="clear" w:pos="708"/>
          <w:tab w:val="left" w:pos="1440" w:leader="none"/>
        </w:tabs>
        <w:spacing w:before="0" w:after="0"/>
        <w:ind w:firstLine="567" w:left="0" w:right="0"/>
        <w:contextualSpacing/>
        <w:jc w:val="both"/>
        <w:rPr>
          <w:rFonts w:ascii="Times New Roman" w:hAnsi="Times New Roman"/>
        </w:rPr>
      </w:pPr>
      <w:r>
        <w:rPr>
          <w:rFonts w:ascii="Times New Roman" w:hAnsi="Times New Roman"/>
          <w:sz w:val="28"/>
        </w:rPr>
        <w:t>в случае выполнения экзаменационной работы на компьютере контролирует перенос ассистентами информации с компьютера на бланки ОГЭ;</w:t>
      </w:r>
    </w:p>
    <w:p>
      <w:pPr>
        <w:pStyle w:val="Normal"/>
        <w:widowControl w:val="false"/>
        <w:tabs>
          <w:tab w:val="clear" w:pos="708"/>
          <w:tab w:val="left" w:pos="1440" w:leader="none"/>
        </w:tabs>
        <w:spacing w:before="0" w:after="0"/>
        <w:ind w:firstLine="567" w:left="0" w:right="0"/>
        <w:contextualSpacing/>
        <w:jc w:val="both"/>
        <w:rPr>
          <w:rFonts w:ascii="Times New Roman" w:hAnsi="Times New Roman"/>
        </w:rPr>
      </w:pPr>
      <w:r>
        <w:rPr>
          <w:rFonts w:ascii="Times New Roman" w:hAnsi="Times New Roman"/>
          <w:sz w:val="28"/>
        </w:rPr>
        <w:t>в случае организации переноса ответов слепых участников экзамена на бланки ОГЭ непосредственно в ППЭ - контролирует работу Комиссии тифлопереводчиков.</w:t>
      </w:r>
    </w:p>
    <w:p>
      <w:pPr>
        <w:pStyle w:val="Normal"/>
        <w:widowControl w:val="false"/>
        <w:tabs>
          <w:tab w:val="clear" w:pos="708"/>
          <w:tab w:val="left" w:pos="1440" w:leader="none"/>
        </w:tabs>
        <w:spacing w:before="0" w:after="0"/>
        <w:ind w:firstLine="567" w:left="0" w:right="0"/>
        <w:contextualSpacing/>
        <w:jc w:val="both"/>
        <w:rPr>
          <w:rFonts w:ascii="Times New Roman" w:hAnsi="Times New Roman"/>
        </w:rPr>
      </w:pPr>
      <w:r>
        <w:rPr>
          <w:rFonts w:ascii="Times New Roman" w:hAnsi="Times New Roman"/>
          <w:sz w:val="28"/>
        </w:rPr>
        <w:t>В случае проведения экзамена в специализированной (отдельной) аудитории ППЭ для участников экзамена с ОВЗ, участников экзамена - детей-инвалидов и инвалидов по</w:t>
        <w:tab/>
        <w:t xml:space="preserve">окончании экзамена руководитель ППЭ передает члену ГЭК ЭМ из специализированной (отдельной) аудитории ППЭ отдельно от ЭМ, сданных из остальных аудиторий ППЭ. </w:t>
      </w:r>
    </w:p>
    <w:p>
      <w:pPr>
        <w:pStyle w:val="Normal"/>
        <w:widowControl w:val="false"/>
        <w:tabs>
          <w:tab w:val="clear" w:pos="708"/>
          <w:tab w:val="left" w:pos="1440" w:leader="none"/>
        </w:tabs>
        <w:spacing w:before="0" w:after="0"/>
        <w:ind w:firstLine="567" w:left="0" w:right="0"/>
        <w:contextualSpacing/>
        <w:jc w:val="both"/>
        <w:rPr>
          <w:rFonts w:ascii="Times New Roman" w:hAnsi="Times New Roman"/>
        </w:rPr>
      </w:pPr>
      <w:r>
        <w:rPr>
          <w:rFonts w:ascii="Times New Roman" w:hAnsi="Times New Roman"/>
          <w:sz w:val="28"/>
        </w:rPr>
        <w:t xml:space="preserve">Доставка ЭМ из ППЭ в РЦОИ производится незамедлительно по окончании процедуры сбора и оформления всех документов, если в ППЭ не проводится сканирование ЭМ. </w:t>
      </w:r>
    </w:p>
    <w:p>
      <w:pPr>
        <w:pStyle w:val="Heading1"/>
        <w:spacing w:before="0" w:after="0"/>
        <w:ind w:hanging="0" w:left="4592" w:right="0"/>
        <w:contextualSpacing/>
        <w:rPr>
          <w:rFonts w:ascii="Times New Roman" w:hAnsi="Times New Roman"/>
          <w:b w:val="false"/>
        </w:rPr>
      </w:pPr>
      <w:r>
        <w:rPr>
          <w:rFonts w:ascii="Times New Roman" w:hAnsi="Times New Roman"/>
          <w:b w:val="false"/>
        </w:rPr>
      </w:r>
      <w:r>
        <w:br w:type="page"/>
      </w:r>
    </w:p>
    <w:p>
      <w:pPr>
        <w:pStyle w:val="Heading1"/>
        <w:spacing w:before="0" w:after="0"/>
        <w:ind w:hanging="0" w:left="4592" w:right="0"/>
        <w:contextualSpacing/>
        <w:rPr>
          <w:rFonts w:ascii="Times New Roman" w:hAnsi="Times New Roman"/>
        </w:rPr>
      </w:pPr>
      <w:bookmarkStart w:id="21" w:name="__RefHeading___16"/>
      <w:bookmarkEnd w:id="21"/>
      <w:r>
        <w:rPr>
          <w:rFonts w:ascii="Times New Roman" w:hAnsi="Times New Roman"/>
          <w:b w:val="false"/>
          <w:sz w:val="28"/>
        </w:rPr>
        <w:t>Приложение 7. Инструкция для слепых, поздноослепших и слабовидящих участников экзаменов, зачитываемая организатором в аудитории перед началом экзамена с использованием ЭМ, изготовленных шрифтом Брайля</w:t>
      </w:r>
      <w:r>
        <w:rPr>
          <w:rStyle w:val="FootnoteReference"/>
          <w:rFonts w:ascii="Times New Roman" w:hAnsi="Times New Roman"/>
          <w:b w:val="false"/>
          <w:sz w:val="28"/>
        </w:rPr>
        <w:footnoteReference w:id="32"/>
      </w:r>
    </w:p>
    <w:p>
      <w:pPr>
        <w:pStyle w:val="Normal"/>
        <w:spacing w:before="0" w:after="0"/>
        <w:ind w:hanging="0" w:left="4592" w:right="0"/>
        <w:contextualSpacing/>
        <w:rPr>
          <w:b w:val="false"/>
          <w:sz w:val="28"/>
        </w:rPr>
      </w:pPr>
      <w:r>
        <w:rPr>
          <w:rFonts w:ascii="Times New Roman" w:hAnsi="Times New Roman"/>
        </w:rPr>
      </w:r>
    </w:p>
    <w:p>
      <w:pPr>
        <w:pStyle w:val="Normal"/>
        <w:spacing w:before="0" w:after="0"/>
        <w:ind w:hanging="0" w:left="4592" w:right="0"/>
        <w:contextualSpacing/>
        <w:rPr>
          <w:b w:val="false"/>
          <w:sz w:val="28"/>
        </w:rPr>
      </w:pPr>
      <w:r>
        <w:rPr>
          <w:rFonts w:ascii="Times New Roman" w:hAnsi="Times New Roman"/>
        </w:rPr>
      </w:r>
    </w:p>
    <w:tbl>
      <w:tblPr>
        <w:tblStyle w:val="Style_2"/>
        <w:tblW w:w="10195" w:type="dxa"/>
        <w:jc w:val="left"/>
        <w:tblInd w:w="0" w:type="dxa"/>
        <w:tblLayout w:type="fixed"/>
        <w:tblCellMar>
          <w:top w:w="0" w:type="dxa"/>
          <w:left w:w="108" w:type="dxa"/>
          <w:bottom w:w="0" w:type="dxa"/>
          <w:right w:w="108" w:type="dxa"/>
        </w:tblCellMar>
      </w:tblPr>
      <w:tblGrid>
        <w:gridCol w:w="10195"/>
      </w:tblGrid>
      <w:tr>
        <w:trPr>
          <w:trHeight w:val="1695" w:hRule="atLeast"/>
        </w:trPr>
        <w:tc>
          <w:tcPr>
            <w:tcW w:w="10195" w:type="dxa"/>
            <w:tcBorders/>
          </w:tcPr>
          <w:p>
            <w:pPr>
              <w:pStyle w:val="Normal"/>
              <w:widowControl/>
              <w:spacing w:lineRule="auto" w:line="240" w:before="0" w:after="0"/>
              <w:ind w:hanging="0" w:left="0" w:right="0"/>
              <w:contextualSpacing/>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r>
          </w:p>
          <w:p>
            <w:pPr>
              <w:pStyle w:val="Normal"/>
              <w:widowControl/>
              <w:spacing w:lineRule="auto" w:line="240" w:before="0" w:after="0"/>
              <w:ind w:hanging="0" w:left="0" w:right="0"/>
              <w:contextualSpacing/>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mc:AlternateContent>
                <mc:Choice Requires="wps">
                  <w:drawing>
                    <wp:anchor behindDoc="0" distT="10160" distB="8890" distL="10160" distR="8890" simplePos="0" locked="0" layoutInCell="1" allowOverlap="1" relativeHeight="31">
                      <wp:simplePos x="0" y="0"/>
                      <wp:positionH relativeFrom="column">
                        <wp:posOffset>90170</wp:posOffset>
                      </wp:positionH>
                      <wp:positionV relativeFrom="paragraph">
                        <wp:posOffset>-104140</wp:posOffset>
                      </wp:positionV>
                      <wp:extent cx="6276975" cy="1320165"/>
                      <wp:effectExtent l="10160" t="10160" r="8890" b="8890"/>
                      <wp:wrapNone/>
                      <wp:docPr id="1" name="Picture 1"/>
                      <a:graphic xmlns:a="http://schemas.openxmlformats.org/drawingml/2006/main">
                        <a:graphicData uri="http://schemas.microsoft.com/office/word/2010/wordprocessingShape">
                          <wps:wsp>
                            <wps:cNvSpPr/>
                            <wps:spPr>
                              <a:xfrm>
                                <a:off x="0" y="0"/>
                                <a:ext cx="6276960" cy="1320120"/>
                              </a:xfrm>
                              <a:prstGeom prst="rect">
                                <a:avLst/>
                              </a:prstGeom>
                              <a:solidFill>
                                <a:srgbClr val="ffffff"/>
                              </a:solidFill>
                              <a:ln w="19050">
                                <a:solidFill>
                                  <a:srgbClr val="000000"/>
                                </a:solidFill>
                                <a:prstDash val="dash"/>
                                <a:round/>
                              </a:ln>
                            </wps:spPr>
                            <wps:style>
                              <a:lnRef idx="0"/>
                              <a:fillRef idx="0"/>
                              <a:effectRef idx="0"/>
                              <a:fontRef idx="minor"/>
                            </wps:style>
                            <wps:txbx>
                              <w:txbxContent>
                                <w:p>
                                  <w:pPr>
                                    <w:pStyle w:val="Normal"/>
                                    <w:widowControl/>
                                    <w:spacing w:lineRule="auto" w:line="240" w:before="0" w:after="0"/>
                                    <w:ind w:hanging="0" w:left="0" w:right="0"/>
                                    <w:contextualSpacing/>
                                    <w:jc w:val="both"/>
                                    <w:rPr>
                                      <w:rFonts w:ascii="Times New Roman" w:hAnsi="Times New Roman"/>
                                      <w:color w:val="000000"/>
                                      <w:spacing w:val="0"/>
                                      <w:kern w:val="0"/>
                                      <w:sz w:val="24"/>
                                      <w:szCs w:val="20"/>
                                    </w:rPr>
                                  </w:pPr>
                                  <w:r>
                                    <w:rPr>
                                      <w:rFonts w:ascii="Times New Roman" w:hAnsi="Times New Roman"/>
                                      <w:color w:val="000000"/>
                                      <w:spacing w:val="0"/>
                                      <w:kern w:val="0"/>
                                      <w:sz w:val="30"/>
                                      <w:szCs w:val="30"/>
                                    </w:rPr>
                                    <w:t xml:space="preserve">Текст, который выделен </w:t>
                                  </w:r>
                                  <w:r>
                                    <w:rPr>
                                      <w:rFonts w:ascii="Times New Roman" w:hAnsi="Times New Roman"/>
                                      <w:b/>
                                      <w:color w:val="000000"/>
                                      <w:spacing w:val="0"/>
                                      <w:kern w:val="0"/>
                                      <w:sz w:val="30"/>
                                      <w:szCs w:val="30"/>
                                    </w:rPr>
                                    <w:t>жирным шрифтом</w:t>
                                  </w:r>
                                  <w:r>
                                    <w:rPr>
                                      <w:rFonts w:ascii="Times New Roman" w:hAnsi="Times New Roman"/>
                                      <w:color w:val="000000"/>
                                      <w:spacing w:val="0"/>
                                      <w:kern w:val="0"/>
                                      <w:sz w:val="30"/>
                                      <w:szCs w:val="30"/>
                                    </w:rPr>
                                    <w:t xml:space="preserve">, должен быть прочитан участникам экзамена </w:t>
                                  </w:r>
                                  <w:r>
                                    <w:rPr>
                                      <w:rFonts w:ascii="Times New Roman" w:hAnsi="Times New Roman"/>
                                      <w:color w:val="000000"/>
                                      <w:spacing w:val="0"/>
                                      <w:kern w:val="0"/>
                                      <w:sz w:val="30"/>
                                      <w:szCs w:val="30"/>
                                      <w:u w:val="single"/>
                                    </w:rPr>
                                    <w:t>слово в слово</w:t>
                                  </w:r>
                                  <w:r>
                                    <w:rPr>
                                      <w:rFonts w:ascii="Times New Roman" w:hAnsi="Times New Roman"/>
                                      <w:color w:val="000000"/>
                                      <w:spacing w:val="0"/>
                                      <w:kern w:val="0"/>
                                      <w:sz w:val="30"/>
                                      <w:szCs w:val="30"/>
                                    </w:rPr>
                                    <w:t xml:space="preserve">. Это делается для стандартизации процедуры проведения ОГЭ. </w:t>
                                  </w:r>
                                  <w:r>
                                    <w:rPr>
                                      <w:rFonts w:ascii="Times New Roman" w:hAnsi="Times New Roman"/>
                                      <w:i/>
                                      <w:color w:val="000000"/>
                                      <w:spacing w:val="0"/>
                                      <w:kern w:val="0"/>
                                      <w:sz w:val="30"/>
                                      <w:szCs w:val="30"/>
                                    </w:rPr>
                                    <w:t xml:space="preserve">Комментарии, отмеченные курсивом, не читаются участникам. </w:t>
                                  </w:r>
                                  <w:r>
                                    <w:rPr>
                                      <w:rFonts w:ascii="Times New Roman" w:hAnsi="Times New Roman"/>
                                      <w:color w:val="000000"/>
                                      <w:spacing w:val="0"/>
                                      <w:kern w:val="0"/>
                                      <w:sz w:val="30"/>
                                      <w:szCs w:val="30"/>
                                    </w:rPr>
                                    <w:t>Они даны в помощь организатору. Инструктаж и экзамен проводятся в спокойной и доброжелательной обстановке.</w:t>
                                  </w:r>
                                </w:p>
                              </w:txbxContent>
                            </wps:txbx>
                            <wps:bodyPr anchor="t">
                              <a:noAutofit/>
                            </wps:bodyPr>
                          </wps:wsp>
                        </a:graphicData>
                      </a:graphic>
                    </wp:anchor>
                  </w:drawing>
                </mc:Choice>
                <mc:Fallback>
                  <w:pict>
                    <v:rect id="shape_0" ID="Picture 1" path="m0,0l-2147483645,0l-2147483645,-2147483646l0,-2147483646xe" fillcolor="white" stroked="t" o:allowincell="f" style="position:absolute;margin-left:7.1pt;margin-top:-8.2pt;width:494.2pt;height:103.9pt;mso-wrap-style:square;v-text-anchor:top">
                      <v:fill o:detectmouseclick="t" type="solid" color2="black"/>
                      <v:stroke color="black" weight="19080" dashstyle="dash" joinstyle="round" endcap="flat"/>
                      <v:textbox>
                        <w:txbxContent>
                          <w:p>
                            <w:pPr>
                              <w:pStyle w:val="Normal"/>
                              <w:widowControl/>
                              <w:spacing w:lineRule="auto" w:line="240" w:before="0" w:after="0"/>
                              <w:ind w:hanging="0" w:left="0" w:right="0"/>
                              <w:contextualSpacing/>
                              <w:jc w:val="both"/>
                              <w:rPr>
                                <w:rFonts w:ascii="Times New Roman" w:hAnsi="Times New Roman"/>
                                <w:color w:val="000000"/>
                                <w:spacing w:val="0"/>
                                <w:kern w:val="0"/>
                                <w:sz w:val="24"/>
                                <w:szCs w:val="20"/>
                              </w:rPr>
                            </w:pPr>
                            <w:r>
                              <w:rPr>
                                <w:rFonts w:ascii="Times New Roman" w:hAnsi="Times New Roman"/>
                                <w:color w:val="000000"/>
                                <w:spacing w:val="0"/>
                                <w:kern w:val="0"/>
                                <w:sz w:val="30"/>
                                <w:szCs w:val="30"/>
                              </w:rPr>
                              <w:t xml:space="preserve">Текст, который выделен </w:t>
                            </w:r>
                            <w:r>
                              <w:rPr>
                                <w:rFonts w:ascii="Times New Roman" w:hAnsi="Times New Roman"/>
                                <w:b/>
                                <w:color w:val="000000"/>
                                <w:spacing w:val="0"/>
                                <w:kern w:val="0"/>
                                <w:sz w:val="30"/>
                                <w:szCs w:val="30"/>
                              </w:rPr>
                              <w:t>жирным шрифтом</w:t>
                            </w:r>
                            <w:r>
                              <w:rPr>
                                <w:rFonts w:ascii="Times New Roman" w:hAnsi="Times New Roman"/>
                                <w:color w:val="000000"/>
                                <w:spacing w:val="0"/>
                                <w:kern w:val="0"/>
                                <w:sz w:val="30"/>
                                <w:szCs w:val="30"/>
                              </w:rPr>
                              <w:t xml:space="preserve">, должен быть прочитан участникам экзамена </w:t>
                            </w:r>
                            <w:r>
                              <w:rPr>
                                <w:rFonts w:ascii="Times New Roman" w:hAnsi="Times New Roman"/>
                                <w:color w:val="000000"/>
                                <w:spacing w:val="0"/>
                                <w:kern w:val="0"/>
                                <w:sz w:val="30"/>
                                <w:szCs w:val="30"/>
                                <w:u w:val="single"/>
                              </w:rPr>
                              <w:t>слово в слово</w:t>
                            </w:r>
                            <w:r>
                              <w:rPr>
                                <w:rFonts w:ascii="Times New Roman" w:hAnsi="Times New Roman"/>
                                <w:color w:val="000000"/>
                                <w:spacing w:val="0"/>
                                <w:kern w:val="0"/>
                                <w:sz w:val="30"/>
                                <w:szCs w:val="30"/>
                              </w:rPr>
                              <w:t xml:space="preserve">. Это делается для стандартизации процедуры проведения ОГЭ. </w:t>
                            </w:r>
                            <w:r>
                              <w:rPr>
                                <w:rFonts w:ascii="Times New Roman" w:hAnsi="Times New Roman"/>
                                <w:i/>
                                <w:color w:val="000000"/>
                                <w:spacing w:val="0"/>
                                <w:kern w:val="0"/>
                                <w:sz w:val="30"/>
                                <w:szCs w:val="30"/>
                              </w:rPr>
                              <w:t xml:space="preserve">Комментарии, отмеченные курсивом, не читаются участникам. </w:t>
                            </w:r>
                            <w:r>
                              <w:rPr>
                                <w:rFonts w:ascii="Times New Roman" w:hAnsi="Times New Roman"/>
                                <w:color w:val="000000"/>
                                <w:spacing w:val="0"/>
                                <w:kern w:val="0"/>
                                <w:sz w:val="30"/>
                                <w:szCs w:val="30"/>
                              </w:rPr>
                              <w:t>Они даны в помощь организатору. Инструктаж и экзамен проводятся в спокойной и доброжелательной обстановке.</w:t>
                            </w:r>
                          </w:p>
                        </w:txbxContent>
                      </v:textbox>
                      <w10:wrap type="none"/>
                    </v:rect>
                  </w:pict>
                </mc:Fallback>
              </mc:AlternateContent>
            </w:r>
          </w:p>
          <w:p>
            <w:pPr>
              <w:pStyle w:val="Normal"/>
              <w:widowControl/>
              <w:spacing w:lineRule="auto" w:line="240" w:before="0" w:after="0"/>
              <w:ind w:hanging="0" w:left="0" w:right="0"/>
              <w:contextualSpacing/>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r>
          </w:p>
          <w:p>
            <w:pPr>
              <w:pStyle w:val="Normal"/>
              <w:widowControl/>
              <w:spacing w:lineRule="auto" w:line="240" w:before="0" w:after="0"/>
              <w:ind w:hanging="0" w:left="0" w:right="0"/>
              <w:contextualSpacing/>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r>
          </w:p>
          <w:p>
            <w:pPr>
              <w:pStyle w:val="Normal"/>
              <w:widowControl/>
              <w:spacing w:lineRule="auto" w:line="240" w:before="0" w:after="0"/>
              <w:ind w:hanging="0" w:left="0" w:right="0"/>
              <w:contextualSpacing/>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r>
          </w:p>
          <w:p>
            <w:pPr>
              <w:pStyle w:val="Normal"/>
              <w:widowControl/>
              <w:spacing w:lineRule="auto" w:line="240" w:before="0" w:after="0"/>
              <w:ind w:hanging="0" w:left="0" w:right="0"/>
              <w:contextualSpacing/>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r>
          </w:p>
          <w:p>
            <w:pPr>
              <w:pStyle w:val="Normal"/>
              <w:widowControl/>
              <w:spacing w:lineRule="auto" w:line="240" w:before="0" w:after="0"/>
              <w:ind w:hanging="0" w:left="0" w:right="0"/>
              <w:contextualSpacing/>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r>
          </w:p>
          <w:p>
            <w:pPr>
              <w:pStyle w:val="Normal"/>
              <w:widowControl/>
              <w:spacing w:lineRule="auto" w:line="240" w:before="0" w:after="0"/>
              <w:ind w:hanging="0" w:left="0" w:right="0"/>
              <w:contextualSpacing/>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r>
          </w:p>
          <w:p>
            <w:pPr>
              <w:pStyle w:val="Normal"/>
              <w:widowControl/>
              <w:spacing w:lineRule="auto" w:line="240" w:before="0" w:after="0"/>
              <w:ind w:hanging="0" w:left="0" w:right="0"/>
              <w:contextualSpacing/>
              <w:jc w:val="both"/>
              <w:rPr>
                <w:rFonts w:ascii="Times New Roman" w:hAnsi="Times New Roman"/>
                <w:color w:val="000000"/>
                <w:spacing w:val="0"/>
                <w:kern w:val="0"/>
                <w:sz w:val="24"/>
                <w:szCs w:val="20"/>
              </w:rPr>
            </w:pPr>
            <w:r>
              <w:rPr>
                <w:rFonts w:ascii="Times New Roman" w:hAnsi="Times New Roman"/>
                <w:color w:val="000000"/>
                <w:spacing w:val="0"/>
                <w:kern w:val="0"/>
                <w:sz w:val="24"/>
                <w:szCs w:val="20"/>
              </w:rPr>
            </w:r>
          </w:p>
        </w:tc>
      </w:tr>
    </w:tbl>
    <w:p>
      <w:pPr>
        <w:pStyle w:val="Normal"/>
        <w:spacing w:before="0" w:after="0"/>
        <w:ind w:firstLine="709" w:left="0" w:right="0"/>
        <w:contextualSpacing/>
        <w:jc w:val="both"/>
        <w:rPr>
          <w:rFonts w:ascii="Times New Roman" w:hAnsi="Times New Roman"/>
        </w:rPr>
      </w:pPr>
      <w:r>
        <w:rPr>
          <w:rFonts w:ascii="Times New Roman" w:hAnsi="Times New Roman"/>
          <w:sz w:val="28"/>
        </w:rPr>
        <w:t xml:space="preserve">Вторая часть инструктажа </w:t>
      </w:r>
      <w:r>
        <w:rPr>
          <w:rFonts w:ascii="Times New Roman" w:hAnsi="Times New Roman"/>
          <w:i/>
          <w:sz w:val="28"/>
        </w:rPr>
        <w:t xml:space="preserve">(начало проведения не ранее 10:00 по местному времени). </w:t>
      </w:r>
    </w:p>
    <w:p>
      <w:pPr>
        <w:pStyle w:val="Normal"/>
        <w:spacing w:before="0" w:after="0"/>
        <w:ind w:firstLine="709" w:left="0" w:right="0"/>
        <w:contextualSpacing/>
        <w:jc w:val="both"/>
        <w:rPr>
          <w:rFonts w:ascii="Times New Roman" w:hAnsi="Times New Roman"/>
        </w:rPr>
      </w:pPr>
      <w:r>
        <w:rPr>
          <w:rFonts w:ascii="Times New Roman" w:hAnsi="Times New Roman"/>
          <w:i/>
          <w:sz w:val="28"/>
        </w:rPr>
        <w:t xml:space="preserve">Продемонстрировать доставочные пакеты, убедиться, что информация о предмете и дате экзамена, указанная на доставочном пакете, достоверна.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Сейчас вам будут выданы доставочные пакеты с индивидуальными комплектами экзаменационных материалов. Все действия с экзаменационными материалами в ходе инструктажа участник экзамена может выполнять совместно с ассистентом. </w:t>
      </w:r>
    </w:p>
    <w:p>
      <w:pPr>
        <w:pStyle w:val="Normal"/>
        <w:spacing w:before="0" w:after="0"/>
        <w:ind w:firstLine="709" w:left="0" w:right="0"/>
        <w:contextualSpacing/>
        <w:jc w:val="both"/>
        <w:rPr>
          <w:rFonts w:ascii="Times New Roman" w:hAnsi="Times New Roman"/>
        </w:rPr>
      </w:pPr>
      <w:r>
        <w:rPr>
          <w:rFonts w:ascii="Times New Roman" w:hAnsi="Times New Roman"/>
          <w:i/>
          <w:sz w:val="28"/>
        </w:rPr>
        <w:t xml:space="preserve">Организатор раздает участникам доставочные пакеты в произвольном порядке.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Проверьте целостность своего доставочного пакета. Осторожно вскройте пакет, сняв защитную пломбу.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В пакете должны находиться конверт с бланками ОГЭ и контрольным листом, а также зип-пакет с КИМ и тетрадью для ответов. Убедитесь в наличии всего перечисленного. </w:t>
      </w:r>
    </w:p>
    <w:p>
      <w:pPr>
        <w:pStyle w:val="Normal"/>
        <w:spacing w:before="0" w:after="0"/>
        <w:ind w:firstLine="709" w:left="0" w:right="0"/>
        <w:contextualSpacing/>
        <w:jc w:val="both"/>
        <w:rPr>
          <w:rFonts w:ascii="Times New Roman" w:hAnsi="Times New Roman"/>
        </w:rPr>
      </w:pPr>
      <w:r>
        <w:rPr>
          <w:rFonts w:ascii="Times New Roman" w:hAnsi="Times New Roman"/>
          <w:i/>
          <w:sz w:val="28"/>
        </w:rPr>
        <w:t xml:space="preserve">Сделать паузу для выполнения указанных действий.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Аккуратно вскройте конверт с бланками ОГЭ и убедитесь в его правильной комплектации. В конверте должны находиться: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контрольный лист;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бланк регистрации;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бланк ответов № 1;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бланк ответов № 2 лист 1;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бланк ответов № 2 лист 2; </w:t>
      </w:r>
    </w:p>
    <w:p>
      <w:pPr>
        <w:pStyle w:val="Normal"/>
        <w:spacing w:before="0" w:after="0"/>
        <w:ind w:firstLine="709" w:left="0" w:right="0"/>
        <w:contextualSpacing/>
        <w:jc w:val="both"/>
        <w:rPr>
          <w:rFonts w:ascii="Times New Roman" w:hAnsi="Times New Roman"/>
        </w:rPr>
      </w:pPr>
      <w:r>
        <w:rPr>
          <w:rFonts w:ascii="Times New Roman" w:hAnsi="Times New Roman"/>
          <w:i/>
          <w:sz w:val="28"/>
        </w:rPr>
        <w:t xml:space="preserve">Сделать паузу для выполнения указанных действий.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Ассистенты, возьмите в руки бланк регистрации и контрольный лист. Проверьте, совпадает ли цифровое значение штрихкода на бланке регистрации со штрихкодом на контрольном листе и на доставочном пакете. </w:t>
      </w:r>
    </w:p>
    <w:p>
      <w:pPr>
        <w:pStyle w:val="Normal"/>
        <w:spacing w:before="0" w:after="0"/>
        <w:ind w:firstLine="709" w:left="0" w:right="0"/>
        <w:contextualSpacing/>
        <w:jc w:val="both"/>
        <w:rPr>
          <w:rFonts w:ascii="Times New Roman" w:hAnsi="Times New Roman"/>
        </w:rPr>
      </w:pPr>
      <w:r>
        <w:rPr>
          <w:rFonts w:ascii="Times New Roman" w:hAnsi="Times New Roman"/>
          <w:i/>
          <w:sz w:val="28"/>
        </w:rPr>
        <w:t xml:space="preserve">Сделать паузу для выполнения указанных действий. </w:t>
      </w:r>
    </w:p>
    <w:p>
      <w:pPr>
        <w:pStyle w:val="Normal"/>
        <w:spacing w:before="0" w:after="0"/>
        <w:ind w:firstLine="709" w:left="0" w:right="0"/>
        <w:contextualSpacing/>
        <w:jc w:val="both"/>
        <w:rPr>
          <w:rFonts w:ascii="Times New Roman" w:hAnsi="Times New Roman"/>
        </w:rPr>
      </w:pPr>
      <w:r>
        <w:rPr>
          <w:rFonts w:ascii="Times New Roman" w:hAnsi="Times New Roman"/>
          <w:b/>
          <w:sz w:val="28"/>
        </w:rPr>
        <w:t>Внимательно просмотрите бланки, проверьте качество печати, в том числе штрихкодов и QR-кода, черных квадратов (реперов), на полиграфические дефекты.</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Вложите бланки ОГЭ и контрольный лист обратно в конверт и отложите его на край стола. </w:t>
      </w:r>
    </w:p>
    <w:p>
      <w:pPr>
        <w:pStyle w:val="Normal"/>
        <w:spacing w:before="0" w:after="0"/>
        <w:ind w:firstLine="709" w:left="0" w:right="0"/>
        <w:contextualSpacing/>
        <w:jc w:val="both"/>
        <w:rPr>
          <w:rFonts w:ascii="Times New Roman" w:hAnsi="Times New Roman"/>
        </w:rPr>
      </w:pPr>
      <w:r>
        <w:rPr>
          <w:rFonts w:ascii="Times New Roman" w:hAnsi="Times New Roman"/>
          <w:b/>
          <w:sz w:val="28"/>
        </w:rPr>
        <w:t>Приступаем к заполнению бланка регистрации.</w:t>
      </w:r>
    </w:p>
    <w:p>
      <w:pPr>
        <w:pStyle w:val="Normal"/>
        <w:spacing w:before="0" w:after="0"/>
        <w:ind w:firstLine="709" w:left="0" w:right="0"/>
        <w:contextualSpacing/>
        <w:jc w:val="both"/>
        <w:rPr>
          <w:rFonts w:ascii="Times New Roman" w:hAnsi="Times New Roman"/>
        </w:rPr>
      </w:pPr>
      <w:r>
        <w:rPr>
          <w:rFonts w:ascii="Times New Roman" w:hAnsi="Times New Roman"/>
          <w:b/>
          <w:sz w:val="28"/>
        </w:rPr>
        <w:t>Записывайте буквы и цифры в соответствии с образцом на бланке. Каждая цифра, символ записывается в отдельную клетку.</w:t>
      </w:r>
    </w:p>
    <w:p>
      <w:pPr>
        <w:pStyle w:val="Normal"/>
        <w:spacing w:before="0" w:after="0"/>
        <w:ind w:firstLine="709" w:left="0" w:right="0"/>
        <w:contextualSpacing/>
        <w:jc w:val="both"/>
        <w:rPr>
          <w:rFonts w:ascii="Times New Roman" w:hAnsi="Times New Roman"/>
        </w:rPr>
      </w:pPr>
      <w:r>
        <w:rPr>
          <w:rFonts w:ascii="Times New Roman" w:hAnsi="Times New Roman"/>
          <w:b/>
          <w:sz w:val="28"/>
        </w:rPr>
        <w:t>Заполните регистрационные поля в соответствии с информацией на доске (информационном стенде).</w:t>
      </w:r>
    </w:p>
    <w:p>
      <w:pPr>
        <w:pStyle w:val="Normal"/>
        <w:spacing w:before="0" w:after="0"/>
        <w:ind w:firstLine="709" w:left="0" w:right="0"/>
        <w:contextualSpacing/>
        <w:jc w:val="both"/>
        <w:rPr>
          <w:rFonts w:ascii="Times New Roman" w:hAnsi="Times New Roman"/>
        </w:rPr>
      </w:pPr>
      <w:r>
        <w:rPr>
          <w:rFonts w:ascii="Times New Roman" w:hAnsi="Times New Roman"/>
          <w:i/>
          <w:sz w:val="28"/>
        </w:rPr>
        <w:t>Обратите внимание участников на доску (информационный стенд).</w:t>
      </w:r>
    </w:p>
    <w:p>
      <w:pPr>
        <w:pStyle w:val="Normal"/>
        <w:spacing w:before="0" w:after="0"/>
        <w:ind w:firstLine="709" w:left="0" w:right="0"/>
        <w:contextualSpacing/>
        <w:jc w:val="both"/>
        <w:rPr>
          <w:rFonts w:ascii="Times New Roman" w:hAnsi="Times New Roman"/>
        </w:rPr>
      </w:pPr>
      <w:r>
        <w:rPr>
          <w:rFonts w:ascii="Times New Roman" w:hAnsi="Times New Roman"/>
          <w:b/>
          <w:sz w:val="28"/>
        </w:rPr>
        <w:t>Заполните поля: «Код региона», «Код ППЭ», «Номер аудитории», проверьте заполнение полей «Код предмета», «Название предмета», «Дата проведения экзамена».  Заполните поле «Код образовательной  организации»   в  соответствии   с информацией на доске (информационном стенде), поле «Класс» заполните самостоятельно. Поля «Служебная отметка», «Резерв-1» и «Контрольная сумма» не заполняются.</w:t>
      </w:r>
    </w:p>
    <w:p>
      <w:pPr>
        <w:pStyle w:val="Normal"/>
        <w:spacing w:before="0" w:after="0"/>
        <w:ind w:firstLine="709" w:left="0" w:right="0"/>
        <w:contextualSpacing/>
        <w:jc w:val="both"/>
        <w:rPr>
          <w:rFonts w:ascii="Times New Roman" w:hAnsi="Times New Roman"/>
        </w:rPr>
      </w:pPr>
      <w:r>
        <w:rPr>
          <w:rFonts w:ascii="Times New Roman" w:hAnsi="Times New Roman"/>
          <w:b/>
          <w:sz w:val="28"/>
        </w:rPr>
        <w:t>Заполняем</w:t>
        <w:tab/>
        <w:t>сведения об участнике экзамена, поля:</w:t>
        <w:tab/>
        <w:t>«Фамилия», «Имя», «Отчество (при наличии)», «Данные документа, удостоверяющего личность». Сделайте паузу для заполнения участниками экзамена бланков регистрации. Поставьте</w:t>
        <w:tab/>
        <w:t>вашу</w:t>
        <w:tab/>
        <w:t>подпись в поле «Подпись участника экзамена», расположенном в нижней части бланка регистрации.</w:t>
      </w:r>
    </w:p>
    <w:p>
      <w:pPr>
        <w:pStyle w:val="Normal"/>
        <w:spacing w:before="0" w:after="0"/>
        <w:ind w:firstLine="709" w:left="0" w:right="0"/>
        <w:contextualSpacing/>
        <w:jc w:val="both"/>
        <w:rPr>
          <w:rFonts w:ascii="Times New Roman" w:hAnsi="Times New Roman"/>
        </w:rPr>
      </w:pPr>
      <w:r>
        <w:rPr>
          <w:rFonts w:ascii="Times New Roman" w:hAnsi="Times New Roman"/>
          <w:b/>
          <w:sz w:val="28"/>
        </w:rPr>
        <w:t>Вложите бланки ОГЭ и контрольный лист обратно в конверт и отложите его на край стола.</w:t>
      </w:r>
    </w:p>
    <w:p>
      <w:pPr>
        <w:pStyle w:val="Normal"/>
        <w:spacing w:before="0" w:after="0"/>
        <w:ind w:firstLine="709" w:left="0" w:right="0"/>
        <w:contextualSpacing/>
        <w:jc w:val="both"/>
        <w:rPr>
          <w:rFonts w:ascii="Times New Roman" w:hAnsi="Times New Roman"/>
        </w:rPr>
      </w:pPr>
      <w:r>
        <w:rPr>
          <w:rFonts w:ascii="Times New Roman" w:hAnsi="Times New Roman"/>
          <w:i/>
          <w:sz w:val="28"/>
        </w:rPr>
        <w:t>Сделать паузу для выполнения ассистентами указанных действий.</w:t>
      </w:r>
    </w:p>
    <w:p>
      <w:pPr>
        <w:pStyle w:val="Normal"/>
        <w:spacing w:before="0" w:after="0"/>
        <w:ind w:firstLine="709" w:left="0" w:right="0"/>
        <w:contextualSpacing/>
        <w:jc w:val="both"/>
        <w:rPr>
          <w:rFonts w:ascii="Times New Roman" w:hAnsi="Times New Roman"/>
        </w:rPr>
      </w:pPr>
      <w:r>
        <w:rPr>
          <w:rFonts w:ascii="Times New Roman" w:hAnsi="Times New Roman"/>
          <w:i/>
          <w:sz w:val="28"/>
        </w:rPr>
        <w:t xml:space="preserve">При обнаружении несовпадений штрихкодов, некомплектности доставочного пакета необходимо заменить доставочный пакет на новый.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Возьмите в руки тетрадь для записи ответов. На титульном листе (обложке) в верхней части листа напишите фамилию, имя, отчество и паспортные данные участника экзамена из документа, удостоверяющего его личность. </w:t>
      </w:r>
    </w:p>
    <w:p>
      <w:pPr>
        <w:pStyle w:val="Normal"/>
        <w:spacing w:before="0" w:after="0"/>
        <w:ind w:firstLine="709" w:left="0" w:right="0"/>
        <w:contextualSpacing/>
        <w:jc w:val="both"/>
        <w:rPr>
          <w:rFonts w:ascii="Times New Roman" w:hAnsi="Times New Roman"/>
        </w:rPr>
      </w:pPr>
      <w:r>
        <w:rPr>
          <w:rFonts w:ascii="Times New Roman" w:hAnsi="Times New Roman"/>
          <w:i/>
          <w:sz w:val="28"/>
        </w:rPr>
        <w:t xml:space="preserve">Сделать паузу для выполнения ассистентами указанных действий. Проверить правильность информации, внесённой на титульный лист.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Передайте тетрадь для записи ответов участнику экзамена.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Участники экзамена, запишите шрифтом Брайля в тетради для ответов на первом листе после титульного листа, отпечатанного шрифтом Брайля, фамилию (с новой строки), имя (с новой строки), отчество (с новой строки) (при наличии), серию и номер документа, удостоверяющего личность (паспорта) (с новой строки). При необходимости паспортные данные вам продиктует ассистент. </w:t>
      </w:r>
    </w:p>
    <w:p>
      <w:pPr>
        <w:pStyle w:val="Normal"/>
        <w:spacing w:before="0" w:after="0"/>
        <w:ind w:firstLine="709" w:left="0" w:right="0"/>
        <w:contextualSpacing/>
        <w:jc w:val="both"/>
        <w:rPr>
          <w:rFonts w:ascii="Times New Roman" w:hAnsi="Times New Roman"/>
        </w:rPr>
      </w:pPr>
      <w:r>
        <w:rPr>
          <w:rFonts w:ascii="Times New Roman" w:hAnsi="Times New Roman"/>
          <w:i/>
          <w:sz w:val="28"/>
        </w:rPr>
        <w:t xml:space="preserve">Сделать паузу для выполнения участниками экзамена указанных действий.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Проверить КИМ по Брайлю на наличие брака.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Обращаем внимание, что ответы пишутся с одной стороны листа, начиная со второго листа после титульного листа, отпечатанного шрифтом Брайля.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При выполнении заданий с кратким ответом необходимо записать номер задания и ответ, располагая каждый ответ на отдельной строке. Если одной строки недостаточно для записи ответа, нужно продолжить запись на следующей строке.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Между номером задания и ответом необходимо оставить интервал (пропустить одну клетку).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Если ответом должно быть слово, то нужно писать его в той форме, в которой данное слово стоит в предложении или указано в задании.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Все последовательности цифр и сочетания слов, являющиеся краткими ответами на задания, записываются в соответствии с образцами ответов, помещенными в Инструкции по выполнению работы, – без пробелов, запятых и других дополнительных символов. Цифры пишутся с цифровыми знаками.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Ответы на задания с развернутыми ответами записываются, начиная с новой страницы тетради для ответов.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Если участник экзамена ошибся, неверный ответ закалывается шеститочием. В качестве правильного ответа засчитывается последний ответ в строке. В случае повторного ответа на задание засчитывается последний ответ.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При выполнении заданий необходимо следовать инструкциям в КИМ. Тексты инструкций сдвинуты вправо на два знака.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Эти правила размещены в брошюре с КИМ сразу после Инструкции по выполнению работы – в Инструкции по заполнению тетради для записи ответов. Также там размещены правила, связанные с особенностями конкретного учебного предмета.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На тетрадях для ответов запрещается делать какие-либо записи и пометки, не относящиеся к ответам на задания. Вы можете делать пометки в черновиках. Также обращаем ваше внимание на то, что ответы, записанные в черновиках, не проверяются.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В случае нехватки места в тетради для ответов вы можете обратиться к нам за дополнительным листом для записи ответов. При этом в верхней строке дополнительного листа необходимо будет написать фамилию, имя, отчество участника как шрифтом Брайля, так и обычным способом.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Каждый час мы будем объявлять время, оставшееся до конца экзамена.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Начало выполнения экзаменационной работы: </w:t>
      </w:r>
      <w:r>
        <w:rPr>
          <w:rFonts w:ascii="Times New Roman" w:hAnsi="Times New Roman"/>
          <w:i/>
          <w:sz w:val="28"/>
        </w:rPr>
        <w:t xml:space="preserve">(объявить время начала)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Окончание выполнения экзаменационной работы: </w:t>
      </w:r>
      <w:r>
        <w:rPr>
          <w:rFonts w:ascii="Times New Roman" w:hAnsi="Times New Roman"/>
          <w:i/>
          <w:sz w:val="28"/>
        </w:rPr>
        <w:t xml:space="preserve">(указать время) </w:t>
      </w:r>
    </w:p>
    <w:p>
      <w:pPr>
        <w:pStyle w:val="Normal"/>
        <w:spacing w:before="0" w:after="0"/>
        <w:ind w:firstLine="709" w:left="0" w:right="0"/>
        <w:contextualSpacing/>
        <w:jc w:val="both"/>
        <w:rPr>
          <w:rFonts w:ascii="Times New Roman" w:hAnsi="Times New Roman"/>
        </w:rPr>
      </w:pPr>
      <w:r>
        <w:rPr>
          <w:rFonts w:ascii="Times New Roman" w:hAnsi="Times New Roman"/>
          <w:i/>
          <w:sz w:val="28"/>
        </w:rPr>
        <w:t xml:space="preserve">Запишите на доске время начала и окончания выполнения экзаменационной работы. </w:t>
      </w:r>
    </w:p>
    <w:p>
      <w:pPr>
        <w:pStyle w:val="Normal"/>
        <w:spacing w:before="0" w:after="0"/>
        <w:ind w:firstLine="709" w:left="0" w:right="0"/>
        <w:contextualSpacing/>
        <w:jc w:val="both"/>
        <w:rPr>
          <w:rFonts w:ascii="Times New Roman" w:hAnsi="Times New Roman"/>
        </w:rPr>
      </w:pPr>
      <w:r>
        <w:rPr>
          <w:rFonts w:ascii="Times New Roman" w:hAnsi="Times New Roman"/>
          <w:i/>
          <w:sz w:val="28"/>
        </w:rPr>
        <w:t xml:space="preserve">Важно! Время, отведенное на инструктаж и заполнение регистрационной информации в тетради для ответов, в общее время выполнения экзаменационной работы не включается.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Не забывайте переносить ответы из черновиков в тетрадь для ответов.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Инструктаж закончен. Вы можете приступать к выполнению заданий.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Желаем удачи! </w:t>
      </w:r>
    </w:p>
    <w:p>
      <w:pPr>
        <w:pStyle w:val="Normal"/>
        <w:spacing w:before="0" w:after="0"/>
        <w:ind w:firstLine="709" w:left="0" w:right="0"/>
        <w:contextualSpacing/>
        <w:jc w:val="both"/>
        <w:rPr>
          <w:rFonts w:ascii="Times New Roman" w:hAnsi="Times New Roman"/>
        </w:rPr>
      </w:pPr>
      <w:r>
        <w:rPr>
          <w:rFonts w:ascii="Times New Roman" w:hAnsi="Times New Roman"/>
          <w:i/>
          <w:sz w:val="28"/>
        </w:rPr>
        <w:t xml:space="preserve">Объявлять время каждый час: </w:t>
      </w:r>
      <w:r>
        <w:rPr>
          <w:rFonts w:ascii="Times New Roman" w:hAnsi="Times New Roman"/>
          <w:b/>
          <w:sz w:val="28"/>
        </w:rPr>
        <w:t xml:space="preserve">«до конца экзамена осталось…» </w:t>
      </w:r>
    </w:p>
    <w:p>
      <w:pPr>
        <w:pStyle w:val="Normal"/>
        <w:spacing w:before="0" w:after="0"/>
        <w:ind w:firstLine="709" w:left="0" w:right="0"/>
        <w:contextualSpacing/>
        <w:jc w:val="both"/>
        <w:rPr>
          <w:rFonts w:ascii="Times New Roman" w:hAnsi="Times New Roman"/>
        </w:rPr>
      </w:pPr>
      <w:r>
        <w:rPr>
          <w:rFonts w:ascii="Times New Roman" w:hAnsi="Times New Roman"/>
          <w:i/>
          <w:sz w:val="28"/>
        </w:rPr>
        <w:t xml:space="preserve">За 30 минут до окончания выполнения экзаменационной работы необходимо объявить: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До окончания выполнения экзаменационной работы осталось 30 минут.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Не забывайте переносить ответы из черновиков в тетрадь ответов. </w:t>
      </w:r>
    </w:p>
    <w:p>
      <w:pPr>
        <w:pStyle w:val="Normal"/>
        <w:spacing w:before="0" w:after="0"/>
        <w:ind w:firstLine="709" w:left="0" w:right="0"/>
        <w:contextualSpacing/>
        <w:jc w:val="both"/>
        <w:rPr>
          <w:rFonts w:ascii="Times New Roman" w:hAnsi="Times New Roman"/>
        </w:rPr>
      </w:pPr>
      <w:r>
        <w:rPr>
          <w:rFonts w:ascii="Times New Roman" w:hAnsi="Times New Roman"/>
          <w:i/>
          <w:sz w:val="28"/>
        </w:rPr>
        <w:t xml:space="preserve">За 5 минут до окончания выполнения экзаменационной работы необходимо объявить: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До окончания выполнения экзаменационной работы осталось 5 минут. Проверьте, все ли ответы вы перенесли из черновиков в тетради для ответов. </w:t>
      </w:r>
    </w:p>
    <w:p>
      <w:pPr>
        <w:pStyle w:val="Normal"/>
        <w:spacing w:before="0" w:after="0"/>
        <w:ind w:firstLine="709" w:left="0" w:right="0"/>
        <w:contextualSpacing/>
        <w:jc w:val="both"/>
        <w:rPr>
          <w:rFonts w:ascii="Times New Roman" w:hAnsi="Times New Roman"/>
        </w:rPr>
      </w:pPr>
      <w:r>
        <w:rPr>
          <w:rFonts w:ascii="Times New Roman" w:hAnsi="Times New Roman"/>
          <w:i/>
          <w:sz w:val="28"/>
        </w:rPr>
        <w:t xml:space="preserve">По окончании выполнения экзаменационной работы объявить: </w:t>
      </w:r>
    </w:p>
    <w:p>
      <w:pPr>
        <w:pStyle w:val="Normal"/>
        <w:spacing w:before="0" w:after="0"/>
        <w:ind w:firstLine="709" w:left="0" w:right="0"/>
        <w:contextualSpacing/>
        <w:jc w:val="both"/>
        <w:rPr>
          <w:rFonts w:ascii="Times New Roman" w:hAnsi="Times New Roman"/>
        </w:rPr>
      </w:pPr>
      <w:r>
        <w:rPr>
          <w:rFonts w:ascii="Times New Roman" w:hAnsi="Times New Roman"/>
          <w:b/>
          <w:sz w:val="28"/>
        </w:rPr>
        <w:t xml:space="preserve">Выполнение экзаменационной работы окончено. Положите экзаменационные материалы на край стола вместе с конвертом с бланками. Мы пройдем и соберем ваши экзаменационные материалы. </w:t>
      </w:r>
    </w:p>
    <w:p>
      <w:pPr>
        <w:pStyle w:val="Normal"/>
        <w:spacing w:before="0" w:after="0"/>
        <w:ind w:firstLine="709" w:left="0" w:right="0"/>
        <w:contextualSpacing/>
        <w:jc w:val="both"/>
        <w:rPr>
          <w:rFonts w:ascii="Times New Roman" w:hAnsi="Times New Roman"/>
        </w:rPr>
      </w:pPr>
      <w:r>
        <w:rPr>
          <w:rFonts w:ascii="Times New Roman" w:hAnsi="Times New Roman"/>
          <w:i/>
          <w:sz w:val="28"/>
        </w:rPr>
        <w:t>Организаторы осуществляют сбор экзаменационных материалов с рабочих мест участников экзамена в организованном порядке.</w:t>
      </w:r>
    </w:p>
    <w:sectPr>
      <w:headerReference w:type="default" r:id="rId2"/>
      <w:footnotePr>
        <w:numFmt w:val="decimal"/>
      </w:footnotePr>
      <w:type w:val="nextPage"/>
      <w:pgSz w:w="11906" w:h="16838"/>
      <w:pgMar w:left="1134" w:right="567" w:gutter="0" w:header="0" w:top="1740" w:footer="0" w:bottom="1134"/>
      <w:pgNumType w:start="107"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empora LGC Uni">
    <w:charset w:val="01"/>
    <w:family w:val="roman"/>
    <w:pitch w:val="variable"/>
  </w:font>
  <w:font w:name="XO Thames">
    <w:charset w:val="01"/>
    <w:family w:val="roman"/>
    <w:pitch w:val="variable"/>
  </w:font>
  <w:font w:name="Times New Roman">
    <w:charset w:val="01"/>
    <w:family w:val="roman"/>
    <w:pitch w:val="variable"/>
  </w:font>
  <w:font w:name="Open Sans">
    <w:charset w:val="01"/>
    <w:family w:val="roman"/>
    <w:pitch w:val="variable"/>
  </w:font>
  <w:font w:name="Segoe UI">
    <w:charset w:val="01"/>
    <w:family w:val="roman"/>
    <w:pitch w:val="variable"/>
  </w:font>
  <w:font w:name="OpenSymbol">
    <w:altName w:val="Arial Unicode MS"/>
    <w:charset w:val="02"/>
    <w:family w:val="auto"/>
    <w:pitch w:val="default"/>
  </w:font>
  <w:font w:name="Open Sans">
    <w:charset w:val="01"/>
    <w:family w:val="swiss"/>
    <w:pitch w:val="variable"/>
  </w:font>
  <w:font w:name="Symbol">
    <w:charset w:val="02"/>
    <w:family w:val="auto"/>
    <w:pitch w:val="default"/>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spacing w:before="0" w:after="0"/>
        <w:ind w:firstLine="709" w:left="0" w:right="0"/>
        <w:contextualSpacing/>
        <w:jc w:val="both"/>
        <w:rPr/>
      </w:pPr>
      <w:r>
        <w:rPr>
          <w:rStyle w:val="Style11"/>
        </w:rPr>
        <w:footnoteRef/>
      </w:r>
      <w:r>
        <w:rPr>
          <w:rFonts w:ascii="Times New Roman" w:hAnsi="Times New Roman"/>
          <w:sz w:val="20"/>
        </w:rPr>
        <w:t xml:space="preserve"> </w:t>
      </w:r>
      <w:r>
        <w:rPr>
          <w:rFonts w:ascii="Times New Roman" w:hAnsi="Times New Roman"/>
          <w:sz w:val="20"/>
        </w:rPr>
        <w:t xml:space="preserve">Например, в одной аудитории могут находиться слабослышащие участники экзамена и участники экзамена с тяжелыми нарушениями речи, слабослышащие участники экзамена и участники экзамена с расстройствами аутистического спектра.  </w:t>
      </w:r>
    </w:p>
  </w:footnote>
  <w:footnote w:id="3">
    <w:p>
      <w:pPr>
        <w:pStyle w:val="Normal"/>
        <w:spacing w:before="0" w:after="47"/>
        <w:ind w:hanging="0" w:left="708" w:right="0"/>
        <w:rPr/>
      </w:pPr>
      <w:r>
        <w:rPr>
          <w:rStyle w:val="Style11"/>
        </w:rPr>
        <w:footnoteRef/>
      </w:r>
      <w:r>
        <w:rPr>
          <w:rFonts w:ascii="Times New Roman" w:hAnsi="Times New Roman"/>
          <w:sz w:val="20"/>
        </w:rPr>
        <w:t xml:space="preserve"> </w:t>
      </w:r>
      <w:r>
        <w:rPr>
          <w:rFonts w:ascii="Times New Roman" w:hAnsi="Times New Roman"/>
          <w:sz w:val="20"/>
        </w:rPr>
        <w:t xml:space="preserve">Например, собственными индивидуальными средствами слухопротезирования. </w:t>
      </w:r>
    </w:p>
  </w:footnote>
  <w:footnote w:id="4">
    <w:p>
      <w:pPr>
        <w:pStyle w:val="Normal"/>
        <w:ind w:firstLine="680" w:left="0" w:right="0"/>
        <w:rPr/>
      </w:pPr>
      <w:r>
        <w:rPr>
          <w:rStyle w:val="Style11"/>
        </w:rPr>
        <w:footnoteRef/>
      </w:r>
      <w:r>
        <w:rPr>
          <w:rFonts w:ascii="Times New Roman" w:hAnsi="Times New Roman"/>
          <w:sz w:val="20"/>
        </w:rPr>
        <w:t xml:space="preserve"> </w:t>
      </w:r>
      <w:r>
        <w:rPr>
          <w:rFonts w:ascii="Times New Roman" w:hAnsi="Times New Roman"/>
          <w:sz w:val="20"/>
        </w:rPr>
        <w:t xml:space="preserve">Копирование ЭМ в увеличенном размере осуществляется в день экзамена в присутствии члена(-ов) ГЭК. </w:t>
      </w:r>
    </w:p>
  </w:footnote>
  <w:footnote w:id="5">
    <w:p>
      <w:pPr>
        <w:pStyle w:val="Normal"/>
        <w:spacing w:before="0" w:after="0"/>
        <w:ind w:firstLine="708" w:left="0" w:right="170"/>
        <w:contextualSpacing/>
        <w:jc w:val="both"/>
        <w:rPr/>
      </w:pPr>
      <w:r>
        <w:rPr>
          <w:rStyle w:val="Style11"/>
        </w:rPr>
        <w:footnoteRef/>
      </w:r>
      <w:r>
        <w:rPr>
          <w:rFonts w:ascii="Times New Roman" w:hAnsi="Times New Roman"/>
          <w:sz w:val="20"/>
        </w:rPr>
        <w:t xml:space="preserve"> </w:t>
      </w:r>
      <w:r>
        <w:rPr>
          <w:rFonts w:ascii="Times New Roman" w:hAnsi="Times New Roman"/>
          <w:sz w:val="20"/>
        </w:rPr>
        <w:t xml:space="preserve">Возможно использование индивидуальных светодиодных средств освещения (настольные лампы) с регулировкой освещения в динамическом диапазоне до 600 люкс, но не менее 300 люкс при отсутствии динамической регулировки. </w:t>
      </w:r>
    </w:p>
  </w:footnote>
  <w:footnote w:id="6">
    <w:p>
      <w:pPr>
        <w:pStyle w:val="Normal"/>
        <w:ind w:firstLine="708" w:left="0" w:right="171"/>
        <w:jc w:val="both"/>
        <w:rPr/>
      </w:pPr>
      <w:r>
        <w:rPr>
          <w:rStyle w:val="Style11"/>
        </w:rPr>
        <w:footnoteRef/>
      </w:r>
      <w:r>
        <w:rPr>
          <w:rFonts w:ascii="Times New Roman" w:hAnsi="Times New Roman"/>
          <w:sz w:val="20"/>
        </w:rPr>
        <w:t xml:space="preserve"> </w:t>
      </w:r>
      <w:r>
        <w:rPr>
          <w:rFonts w:ascii="Times New Roman" w:hAnsi="Times New Roman"/>
          <w:sz w:val="20"/>
        </w:rPr>
        <w:t xml:space="preserve">В ППЭ, организованных на базе образовательных организаций, имеющих доступную среду для обучающихся с нарушением опорно-двигательного аппарата (подъемники, лифты), специализированная (отдельная) аудитория может быть организована выше первого этажа. </w:t>
      </w:r>
    </w:p>
  </w:footnote>
  <w:footnote w:id="7">
    <w:p>
      <w:pPr>
        <w:pStyle w:val="Normal"/>
        <w:spacing w:before="0" w:after="0"/>
        <w:ind w:firstLine="708" w:left="0" w:right="175"/>
        <w:contextualSpacing/>
        <w:jc w:val="both"/>
        <w:rPr/>
      </w:pPr>
      <w:r>
        <w:rPr>
          <w:rStyle w:val="Style11"/>
        </w:rPr>
        <w:footnoteRef/>
      </w:r>
      <w:r>
        <w:rPr>
          <w:rFonts w:ascii="Times New Roman" w:hAnsi="Times New Roman"/>
          <w:sz w:val="20"/>
        </w:rPr>
        <w:t xml:space="preserve"> </w:t>
      </w:r>
      <w:r>
        <w:rPr>
          <w:rFonts w:ascii="Times New Roman" w:hAnsi="Times New Roman"/>
          <w:sz w:val="20"/>
        </w:rPr>
        <w:t xml:space="preserve">При этом количество участников экзамена по каждому учебному предмету определяется исходя из общей площади аудитории и с учетом того, что участники экзаменов и (или) их ассистенты не будут мешать и (или) отвлекать других участников экзаменов от выполнения ими ЭР. </w:t>
      </w:r>
    </w:p>
  </w:footnote>
  <w:footnote w:id="8">
    <w:p>
      <w:pPr>
        <w:pStyle w:val="Normal"/>
        <w:spacing w:before="0" w:after="0"/>
        <w:ind w:firstLine="709" w:left="0" w:right="0"/>
        <w:contextualSpacing/>
        <w:jc w:val="both"/>
        <w:rPr/>
      </w:pPr>
      <w:r>
        <w:rPr>
          <w:rStyle w:val="Style11"/>
        </w:rPr>
        <w:footnoteRef/>
      </w:r>
      <w:r>
        <w:rPr>
          <w:rFonts w:ascii="Times New Roman" w:hAnsi="Times New Roman"/>
          <w:sz w:val="20"/>
        </w:rPr>
        <w:t xml:space="preserve"> </w:t>
      </w:r>
      <w:r>
        <w:rPr>
          <w:rFonts w:ascii="Times New Roman" w:hAnsi="Times New Roman"/>
          <w:sz w:val="20"/>
        </w:rPr>
        <w:t xml:space="preserve">Предварительно следует заполнить отдельные пропуски по тексту указанной инструкции (например, плановая дата ознакомления с результатами и др.).  </w:t>
      </w:r>
    </w:p>
  </w:footnote>
  <w:footnote w:id="9">
    <w:p>
      <w:pPr>
        <w:pStyle w:val="Normal"/>
        <w:ind w:firstLine="709" w:left="0" w:right="0"/>
        <w:jc w:val="both"/>
        <w:rPr/>
      </w:pPr>
      <w:r>
        <w:rPr>
          <w:rStyle w:val="Style11"/>
        </w:rPr>
        <w:footnoteRef/>
      </w:r>
      <w:r>
        <w:rPr>
          <w:rFonts w:ascii="Times New Roman" w:hAnsi="Times New Roman"/>
          <w:sz w:val="20"/>
        </w:rPr>
        <w:t xml:space="preserve"> </w:t>
      </w:r>
      <w:r>
        <w:rPr>
          <w:rFonts w:ascii="Times New Roman" w:hAnsi="Times New Roman"/>
          <w:sz w:val="20"/>
        </w:rPr>
        <w:t xml:space="preserve">О наличии заболевания, дающего право на обучение по основным общеобразовательным программам на дому в соответствии с приказом Минздрава России от 30 июня 2016 г. № 436н «Об утверждении перечня заболеваний, наличие которых дает право на обучение по основным общеобразовательным программам на дому» (зарегистрирован в Минюсте России 20.07.2016, регистрационный № 42916).  </w:t>
      </w:r>
    </w:p>
  </w:footnote>
  <w:footnote w:id="10">
    <w:p>
      <w:pPr>
        <w:pStyle w:val="Normal"/>
        <w:ind w:firstLine="709" w:left="0" w:right="0"/>
        <w:jc w:val="both"/>
        <w:rPr/>
      </w:pPr>
      <w:r>
        <w:rPr>
          <w:rStyle w:val="Style11"/>
        </w:rPr>
        <w:footnoteRef/>
      </w:r>
      <w:r>
        <w:rPr>
          <w:rFonts w:ascii="Times New Roman" w:hAnsi="Times New Roman"/>
          <w:sz w:val="20"/>
        </w:rPr>
        <w:t xml:space="preserve"> </w:t>
      </w:r>
      <w:r>
        <w:rPr>
          <w:rFonts w:ascii="Times New Roman" w:hAnsi="Times New Roman"/>
          <w:sz w:val="20"/>
        </w:rPr>
        <w:t xml:space="preserve">О необходимости организовать проведение ГИА на дому, а также поименованные условия и специальные условия (при необходимости).  </w:t>
      </w:r>
    </w:p>
  </w:footnote>
  <w:footnote w:id="11">
    <w:p>
      <w:pPr>
        <w:pStyle w:val="Normal"/>
        <w:ind w:firstLine="709" w:left="0" w:right="0"/>
        <w:jc w:val="both"/>
        <w:rPr/>
      </w:pPr>
      <w:r>
        <w:rPr>
          <w:rStyle w:val="Style11"/>
        </w:rPr>
        <w:footnoteRef/>
      </w:r>
      <w:r>
        <w:rPr>
          <w:rFonts w:ascii="Times New Roman" w:hAnsi="Times New Roman"/>
          <w:sz w:val="20"/>
        </w:rPr>
        <w:t xml:space="preserve"> </w:t>
      </w:r>
      <w:r>
        <w:rPr>
          <w:rFonts w:ascii="Times New Roman" w:hAnsi="Times New Roman"/>
          <w:sz w:val="20"/>
        </w:rPr>
        <w:t xml:space="preserve">Например, при проведении экзамена для участников экзаменов с расстройствами аутистического спектра, для участников экзаменов с индивидуальными психофизическими особенностями развития, для обучающихся с социализированным расстройством поведения.  </w:t>
      </w:r>
    </w:p>
  </w:footnote>
  <w:footnote w:id="12">
    <w:p>
      <w:pPr>
        <w:pStyle w:val="Normal"/>
        <w:ind w:firstLine="709" w:left="0" w:right="0"/>
        <w:jc w:val="both"/>
        <w:rPr/>
      </w:pPr>
      <w:r>
        <w:rPr>
          <w:rStyle w:val="Style11"/>
        </w:rPr>
        <w:footnoteRef/>
      </w:r>
      <w:r>
        <w:rPr>
          <w:rFonts w:ascii="Times New Roman" w:hAnsi="Times New Roman"/>
          <w:sz w:val="20"/>
        </w:rPr>
        <w:t xml:space="preserve"> </w:t>
      </w:r>
      <w:r>
        <w:rPr>
          <w:rFonts w:ascii="Times New Roman" w:hAnsi="Times New Roman"/>
          <w:sz w:val="20"/>
        </w:rPr>
        <w:t xml:space="preserve">Ассистент относится к категории лиц, привлекаемых к проведению ГИА. Сведения об ассистентах вносятся в РИС в установленном порядке.  </w:t>
      </w:r>
    </w:p>
  </w:footnote>
  <w:footnote w:id="13">
    <w:p>
      <w:pPr>
        <w:pStyle w:val="Normal"/>
        <w:ind w:firstLine="709" w:left="0" w:right="0"/>
        <w:jc w:val="both"/>
        <w:rPr/>
      </w:pPr>
      <w:r>
        <w:rPr>
          <w:rStyle w:val="Style11"/>
        </w:rPr>
        <w:footnoteRef/>
      </w:r>
      <w:r>
        <w:rPr>
          <w:rFonts w:ascii="Times New Roman" w:hAnsi="Times New Roman"/>
          <w:sz w:val="20"/>
        </w:rPr>
        <w:t xml:space="preserve"> </w:t>
      </w:r>
      <w:r>
        <w:rPr>
          <w:rFonts w:ascii="Times New Roman" w:hAnsi="Times New Roman"/>
          <w:sz w:val="20"/>
        </w:rPr>
        <w:t xml:space="preserve">При переносе ответов с бланков увеличенного размера (ДБО увеличенного размера) на бланки ответов (ДБО) стандартного размера, – в поле «Подпись участника» ассистент пишет «Копия верна» и ставит свою подпись.  </w:t>
      </w:r>
    </w:p>
  </w:footnote>
  <w:footnote w:id="14">
    <w:p>
      <w:pPr>
        <w:pStyle w:val="Normal"/>
        <w:ind w:firstLine="709" w:left="0" w:right="0"/>
        <w:jc w:val="both"/>
        <w:rPr/>
      </w:pPr>
      <w:r>
        <w:rPr>
          <w:rStyle w:val="Style11"/>
        </w:rPr>
        <w:footnoteRef/>
      </w:r>
      <w:r>
        <w:rPr>
          <w:rFonts w:ascii="Times New Roman" w:hAnsi="Times New Roman"/>
          <w:sz w:val="20"/>
        </w:rPr>
        <w:t xml:space="preserve"> </w:t>
      </w:r>
      <w:r>
        <w:rPr>
          <w:rFonts w:ascii="Times New Roman" w:hAnsi="Times New Roman"/>
          <w:sz w:val="20"/>
        </w:rPr>
        <w:t xml:space="preserve">Сообщается во время подачи заявления об участии в ГИА.  </w:t>
      </w:r>
    </w:p>
  </w:footnote>
  <w:footnote w:id="15">
    <w:p>
      <w:pPr>
        <w:pStyle w:val="Normal"/>
        <w:ind w:firstLine="709" w:left="0" w:right="0"/>
        <w:jc w:val="both"/>
        <w:rPr/>
      </w:pPr>
      <w:r>
        <w:rPr>
          <w:rStyle w:val="Style11"/>
        </w:rPr>
        <w:footnoteRef/>
      </w:r>
      <w:r>
        <w:rPr>
          <w:rFonts w:ascii="Times New Roman" w:hAnsi="Times New Roman"/>
          <w:sz w:val="20"/>
        </w:rPr>
        <w:t xml:space="preserve"> </w:t>
      </w:r>
      <w:r>
        <w:rPr>
          <w:rFonts w:ascii="Times New Roman" w:hAnsi="Times New Roman"/>
          <w:sz w:val="20"/>
        </w:rPr>
        <w:t xml:space="preserve">необходимости обеспечения сурдоперевода текста для изложения сообщается во время подачи заявления об участии в ГИА в форме ГВЭ по русскому языку.  </w:t>
      </w:r>
    </w:p>
  </w:footnote>
  <w:footnote w:id="16">
    <w:p>
      <w:pPr>
        <w:pStyle w:val="Normal"/>
        <w:ind w:firstLine="709" w:left="0" w:right="0"/>
        <w:jc w:val="both"/>
        <w:rPr/>
      </w:pPr>
      <w:r>
        <w:rPr>
          <w:rStyle w:val="Style11"/>
        </w:rPr>
        <w:footnoteRef/>
      </w:r>
      <w:r>
        <w:rPr>
          <w:rFonts w:ascii="Times New Roman" w:hAnsi="Times New Roman"/>
          <w:sz w:val="20"/>
        </w:rPr>
        <w:t xml:space="preserve"> </w:t>
      </w:r>
      <w:r>
        <w:rPr>
          <w:rFonts w:ascii="Times New Roman" w:hAnsi="Times New Roman"/>
          <w:sz w:val="20"/>
        </w:rPr>
        <w:t xml:space="preserve">Для участников ГИА в форме ГВЭ по русскому языку, выполняющих 300-е номера вариантов (сжатое изложение по прочитанному тексту с творческим заданием).  </w:t>
      </w:r>
    </w:p>
  </w:footnote>
  <w:footnote w:id="17">
    <w:p>
      <w:pPr>
        <w:pStyle w:val="Normal"/>
        <w:ind w:firstLine="709" w:left="0" w:right="0"/>
        <w:jc w:val="both"/>
        <w:rPr/>
      </w:pPr>
      <w:r>
        <w:rPr>
          <w:rStyle w:val="Style11"/>
        </w:rPr>
        <w:footnoteRef/>
      </w:r>
      <w:r>
        <w:rPr>
          <w:rFonts w:ascii="Times New Roman" w:hAnsi="Times New Roman"/>
          <w:sz w:val="20"/>
        </w:rPr>
        <w:t xml:space="preserve"> </w:t>
      </w:r>
      <w:r>
        <w:rPr>
          <w:rFonts w:ascii="Times New Roman" w:hAnsi="Times New Roman"/>
          <w:sz w:val="20"/>
        </w:rPr>
        <w:t xml:space="preserve">Допускается не масштабировать бланки регистрации в случае их заполнения ассистентами. </w:t>
      </w:r>
    </w:p>
    <w:p>
      <w:pPr>
        <w:pStyle w:val="Normal"/>
        <w:ind w:firstLine="709" w:left="0" w:right="0"/>
        <w:jc w:val="both"/>
        <w:rPr/>
      </w:pPr>
      <w:r>
        <w:rPr>
          <w:rFonts w:ascii="Times New Roman" w:hAnsi="Times New Roman"/>
          <w:sz w:val="20"/>
        </w:rPr>
        <w:t xml:space="preserve">Допускается использование масштабированного варианта КИМ на формате А4 с размером шрифта не менее 18 Bold (полужирный) и отдельным масштабированием картинок и схем, представленных в КИМ, размерами не менее половины А4 (пропорционально размерам исходных изображений картинок и схем КИМ). Шрифт, используемый в КИМ для слабовидящих детей, должен быть без засечек (Arial /Verdana).  </w:t>
      </w:r>
    </w:p>
  </w:footnote>
  <w:footnote w:id="18">
    <w:p>
      <w:pPr>
        <w:pStyle w:val="Normal"/>
        <w:ind w:firstLine="709" w:left="0" w:right="0"/>
        <w:jc w:val="both"/>
        <w:rPr/>
      </w:pPr>
      <w:r>
        <w:rPr>
          <w:rStyle w:val="Style11"/>
        </w:rPr>
        <w:footnoteRef/>
      </w:r>
      <w:r>
        <w:rPr>
          <w:rFonts w:ascii="Times New Roman" w:hAnsi="Times New Roman"/>
          <w:sz w:val="20"/>
        </w:rPr>
        <w:t xml:space="preserve"> </w:t>
      </w:r>
      <w:r>
        <w:rPr>
          <w:rFonts w:ascii="Times New Roman" w:hAnsi="Times New Roman"/>
          <w:sz w:val="20"/>
        </w:rPr>
        <w:t xml:space="preserve">Предварительно следует заполнить отдельные пропуски по тексту указанной инструкции (например, плановая дата ознакомления с результатами и др.).  </w:t>
      </w:r>
    </w:p>
  </w:footnote>
  <w:footnote w:id="19">
    <w:p>
      <w:pPr>
        <w:pStyle w:val="Normal"/>
        <w:ind w:firstLine="709" w:left="0" w:right="0"/>
        <w:jc w:val="both"/>
        <w:rPr/>
      </w:pPr>
      <w:r>
        <w:rPr>
          <w:rStyle w:val="Style11"/>
        </w:rPr>
        <w:footnoteRef/>
      </w:r>
      <w:r>
        <w:rPr>
          <w:rFonts w:ascii="Times New Roman" w:hAnsi="Times New Roman"/>
          <w:sz w:val="20"/>
        </w:rPr>
        <w:t xml:space="preserve"> </w:t>
      </w:r>
      <w:r>
        <w:rPr>
          <w:rFonts w:ascii="Times New Roman" w:hAnsi="Times New Roman"/>
          <w:sz w:val="20"/>
        </w:rPr>
        <w:t xml:space="preserve">Предварительно следует заполнить отдельные пропуски по тексту указанной инструкции (например, плановая дата ознакомления с результатами и др.).  </w:t>
      </w:r>
    </w:p>
  </w:footnote>
  <w:footnote w:id="20">
    <w:p>
      <w:pPr>
        <w:pStyle w:val="Normal"/>
        <w:ind w:firstLine="709" w:left="0" w:right="0"/>
        <w:jc w:val="both"/>
        <w:rPr/>
      </w:pPr>
      <w:r>
        <w:rPr>
          <w:rStyle w:val="Style11"/>
        </w:rPr>
        <w:footnoteRef/>
      </w:r>
      <w:r>
        <w:rPr>
          <w:rFonts w:ascii="Times New Roman" w:hAnsi="Times New Roman"/>
          <w:sz w:val="20"/>
        </w:rPr>
        <w:t xml:space="preserve"> </w:t>
      </w:r>
      <w:r>
        <w:rPr>
          <w:rFonts w:ascii="Times New Roman" w:hAnsi="Times New Roman"/>
          <w:sz w:val="20"/>
        </w:rPr>
        <w:t xml:space="preserve">Не распространяются на проведение КОГЭ.  </w:t>
      </w:r>
    </w:p>
  </w:footnote>
  <w:footnote w:id="21">
    <w:p>
      <w:pPr>
        <w:pStyle w:val="Normal"/>
        <w:ind w:firstLine="709" w:left="0" w:right="0"/>
        <w:jc w:val="both"/>
        <w:rPr/>
      </w:pPr>
      <w:r>
        <w:rPr>
          <w:rStyle w:val="Style11"/>
        </w:rPr>
        <w:footnoteRef/>
      </w:r>
      <w:r>
        <w:rPr>
          <w:rFonts w:ascii="Times New Roman" w:hAnsi="Times New Roman"/>
          <w:sz w:val="20"/>
        </w:rPr>
        <w:t xml:space="preserve"> </w:t>
      </w:r>
      <w:r>
        <w:rPr>
          <w:rFonts w:ascii="Times New Roman" w:hAnsi="Times New Roman"/>
          <w:sz w:val="20"/>
        </w:rPr>
        <w:t xml:space="preserve">В случае если участник экзамена по состоянию здоровья не может поставить личную подпись ассистент указанного участника экзамена или в случае его отсутствия – ответственный организатор в аудитории ставит свою подпись.  </w:t>
      </w:r>
    </w:p>
  </w:footnote>
  <w:footnote w:id="22">
    <w:p>
      <w:pPr>
        <w:pStyle w:val="Normal"/>
        <w:ind w:firstLine="709" w:left="0" w:right="0"/>
        <w:jc w:val="both"/>
        <w:rPr/>
      </w:pPr>
      <w:r>
        <w:rPr>
          <w:rStyle w:val="Style11"/>
        </w:rPr>
        <w:footnoteRef/>
      </w:r>
      <w:r>
        <w:rPr>
          <w:rFonts w:ascii="Times New Roman" w:hAnsi="Times New Roman"/>
          <w:sz w:val="20"/>
        </w:rPr>
        <w:t xml:space="preserve"> </w:t>
      </w:r>
      <w:r>
        <w:rPr>
          <w:rFonts w:ascii="Times New Roman" w:hAnsi="Times New Roman"/>
          <w:sz w:val="20"/>
        </w:rPr>
        <w:t xml:space="preserve">Присутствие иных лиц в аудитории, в том числе участников экзамена, не требуется.  </w:t>
      </w:r>
    </w:p>
  </w:footnote>
  <w:footnote w:id="23">
    <w:p>
      <w:pPr>
        <w:pStyle w:val="Normal"/>
        <w:rPr/>
      </w:pPr>
      <w:r>
        <w:rPr>
          <w:rStyle w:val="Style11"/>
        </w:rPr>
        <w:footnoteRef/>
      </w:r>
      <w:r>
        <w:rPr>
          <w:rFonts w:ascii="Times New Roman" w:hAnsi="Times New Roman"/>
          <w:sz w:val="20"/>
        </w:rPr>
        <w:t xml:space="preserve"> </w:t>
      </w:r>
      <w:r>
        <w:rPr>
          <w:rFonts w:ascii="Times New Roman" w:hAnsi="Times New Roman"/>
          <w:sz w:val="20"/>
        </w:rPr>
        <w:t xml:space="preserve">Не распространяется на проведение КОГЭ.  </w:t>
      </w:r>
    </w:p>
  </w:footnote>
  <w:footnote w:id="24">
    <w:p>
      <w:pPr>
        <w:pStyle w:val="Normal"/>
        <w:ind w:firstLine="709" w:left="0" w:right="0"/>
        <w:rPr/>
      </w:pPr>
      <w:r>
        <w:rPr>
          <w:rStyle w:val="Style11"/>
        </w:rPr>
        <w:footnoteRef/>
      </w:r>
      <w:r>
        <w:rPr>
          <w:rFonts w:ascii="Times New Roman" w:hAnsi="Times New Roman"/>
          <w:sz w:val="20"/>
        </w:rPr>
        <w:t xml:space="preserve"> </w:t>
      </w:r>
      <w:r>
        <w:rPr>
          <w:rFonts w:ascii="Times New Roman" w:hAnsi="Times New Roman"/>
          <w:sz w:val="20"/>
        </w:rPr>
        <w:t>Не распространяется на проведение КОГЭ</w:t>
      </w:r>
    </w:p>
  </w:footnote>
  <w:footnote w:id="25">
    <w:p>
      <w:pPr>
        <w:pStyle w:val="Normal"/>
        <w:ind w:firstLine="709" w:left="0" w:right="0"/>
        <w:rPr/>
      </w:pPr>
      <w:r>
        <w:rPr>
          <w:rStyle w:val="Style11"/>
        </w:rPr>
        <w:footnoteRef/>
      </w:r>
      <w:r>
        <w:rPr>
          <w:rFonts w:ascii="Times New Roman" w:hAnsi="Times New Roman"/>
          <w:sz w:val="20"/>
        </w:rPr>
        <w:t xml:space="preserve"> </w:t>
      </w:r>
      <w:r>
        <w:rPr>
          <w:rFonts w:ascii="Times New Roman" w:hAnsi="Times New Roman"/>
          <w:sz w:val="20"/>
        </w:rPr>
        <w:t xml:space="preserve">Допускается соотношение: два тифлопереводчика на одну экзаменационную работу.  </w:t>
      </w:r>
    </w:p>
  </w:footnote>
  <w:footnote w:id="26">
    <w:p>
      <w:pPr>
        <w:pStyle w:val="Normal"/>
        <w:ind w:firstLine="709" w:left="0" w:right="0"/>
        <w:jc w:val="both"/>
        <w:rPr/>
      </w:pPr>
      <w:r>
        <w:rPr>
          <w:rStyle w:val="Style11"/>
        </w:rPr>
        <w:footnoteRef/>
      </w:r>
      <w:r>
        <w:rPr>
          <w:rFonts w:ascii="Times New Roman" w:hAnsi="Times New Roman"/>
          <w:sz w:val="20"/>
        </w:rPr>
        <w:t xml:space="preserve"> </w:t>
      </w:r>
      <w:r>
        <w:rPr>
          <w:rFonts w:ascii="Times New Roman" w:hAnsi="Times New Roman"/>
          <w:sz w:val="20"/>
        </w:rPr>
        <w:t xml:space="preserve">Состав Комиссии формируется с учетом отсутствия у представителей, предполагаемых для включения в состав Комиссии, конфликта интересов.  </w:t>
      </w:r>
    </w:p>
  </w:footnote>
  <w:footnote w:id="27">
    <w:p>
      <w:pPr>
        <w:pStyle w:val="Normal"/>
        <w:ind w:firstLine="709" w:left="0" w:right="0"/>
        <w:jc w:val="both"/>
        <w:rPr/>
      </w:pPr>
      <w:r>
        <w:rPr>
          <w:rStyle w:val="Style11"/>
        </w:rPr>
        <w:footnoteRef/>
      </w:r>
      <w:r>
        <w:rPr>
          <w:rFonts w:ascii="Times New Roman" w:hAnsi="Times New Roman"/>
          <w:sz w:val="20"/>
        </w:rPr>
        <w:t xml:space="preserve"> </w:t>
      </w:r>
      <w:r>
        <w:rPr>
          <w:rFonts w:ascii="Times New Roman" w:hAnsi="Times New Roman"/>
          <w:sz w:val="20"/>
        </w:rPr>
        <w:t>Данная памятка является дополнительным материалом к Инструкции для организатора в аудитории, представленной в Инструкциях для лиц, задействованных при проведении государственной итоговой аттестации по образовательным программам основного общего образования в пункте проведения экзамена в Камчатском крае в 2026 году, в Инструкции по подготовке и проведению государственной итоговой аттестации по образовательным программам основного общего образования в Камчатском крае в 2026 году.</w:t>
      </w:r>
    </w:p>
  </w:footnote>
  <w:footnote w:id="28">
    <w:p>
      <w:pPr>
        <w:pStyle w:val="Normal"/>
        <w:ind w:firstLine="709" w:left="0" w:right="0"/>
        <w:jc w:val="both"/>
        <w:rPr/>
      </w:pPr>
      <w:r>
        <w:rPr>
          <w:rStyle w:val="Style11"/>
        </w:rPr>
        <w:footnoteRef/>
      </w:r>
      <w:r>
        <w:rPr>
          <w:rFonts w:ascii="Times New Roman" w:hAnsi="Times New Roman"/>
          <w:sz w:val="20"/>
        </w:rPr>
        <w:t xml:space="preserve"> </w:t>
      </w:r>
      <w:r>
        <w:rPr>
          <w:rFonts w:ascii="Times New Roman" w:hAnsi="Times New Roman"/>
          <w:sz w:val="20"/>
        </w:rPr>
        <w:t>Данная памятка является дополнительным материалом к Инструкции для организатора в аудитории, представленной в Инструкциях для лиц, задействованных при проведении государственной итоговой аттестации по образовательным программам основного общего образования в пункте проведения экзамена в Камчатском крае в 2026 году, в Инструкции по подготовке и проведению государственной итоговой аттестации по образовательным программам основного общего образования в Камчатском крае в 2026 году.</w:t>
      </w:r>
    </w:p>
  </w:footnote>
  <w:footnote w:id="29">
    <w:p>
      <w:pPr>
        <w:pStyle w:val="Normal"/>
        <w:ind w:firstLine="709" w:left="0" w:right="0"/>
        <w:jc w:val="both"/>
        <w:rPr/>
      </w:pPr>
      <w:r>
        <w:rPr>
          <w:rStyle w:val="Style11"/>
        </w:rPr>
        <w:footnoteRef/>
      </w:r>
      <w:r>
        <w:rPr>
          <w:rFonts w:ascii="Times New Roman" w:hAnsi="Times New Roman"/>
          <w:sz w:val="20"/>
        </w:rPr>
        <w:t xml:space="preserve"> </w:t>
      </w:r>
      <w:r>
        <w:rPr>
          <w:rFonts w:ascii="Times New Roman" w:hAnsi="Times New Roman"/>
          <w:sz w:val="20"/>
        </w:rPr>
        <w:t>Данная памятка является дополнительным материалом к Инструкции для организатора в аудитории, представленной в Инструкциях для лиц, задействованных при проведении государственной итоговой аттестации по образовательным программам основного общего образования в пункте проведения экзамена в Камчатском крае в 2026 году, в Инструкции по подготовке и проведению государственной итоговой аттестации по образовательным программам основного общего образования в Камчатском крае в 2026 году.</w:t>
      </w:r>
    </w:p>
  </w:footnote>
  <w:footnote w:id="30">
    <w:p>
      <w:pPr>
        <w:pStyle w:val="Normal"/>
        <w:ind w:firstLine="709" w:left="0" w:right="0"/>
        <w:rPr/>
      </w:pPr>
      <w:r>
        <w:rPr>
          <w:rStyle w:val="Style11"/>
        </w:rPr>
        <w:footnoteRef/>
      </w:r>
      <w:r>
        <w:rPr>
          <w:rFonts w:ascii="Times New Roman" w:hAnsi="Times New Roman"/>
          <w:sz w:val="20"/>
        </w:rPr>
        <w:t xml:space="preserve"> </w:t>
      </w:r>
      <w:r>
        <w:rPr>
          <w:rFonts w:ascii="Times New Roman" w:hAnsi="Times New Roman"/>
          <w:sz w:val="20"/>
        </w:rPr>
        <w:t xml:space="preserve">Не распространяется на проведение КОГЭ  </w:t>
      </w:r>
    </w:p>
  </w:footnote>
  <w:footnote w:id="31">
    <w:p>
      <w:pPr>
        <w:pStyle w:val="Normal"/>
        <w:ind w:firstLine="709" w:left="0" w:right="0"/>
        <w:jc w:val="both"/>
        <w:rPr/>
      </w:pPr>
      <w:r>
        <w:rPr>
          <w:rStyle w:val="Style11"/>
        </w:rPr>
        <w:footnoteRef/>
      </w:r>
      <w:r>
        <w:rPr>
          <w:rFonts w:ascii="Times New Roman" w:hAnsi="Times New Roman"/>
          <w:sz w:val="20"/>
        </w:rPr>
        <w:t xml:space="preserve"> </w:t>
      </w:r>
      <w:r>
        <w:rPr>
          <w:rFonts w:ascii="Times New Roman" w:hAnsi="Times New Roman"/>
          <w:sz w:val="20"/>
        </w:rPr>
        <w:t>Данная памятка является дополнительным материалом к Инструкции для организатора в аудитории, представленной в Инструкциях для лиц, задействованных при проведении государственной итоговой аттестации по образовательным программам основного общего образования в пункте проведения экзамена в Камчатском крае в 2026 году, в Инструкции по подготовке и проведению государственной итоговой аттестации по образовательным программам основного общего образования в Камчатском крае в 2026 году.</w:t>
      </w:r>
    </w:p>
  </w:footnote>
  <w:footnote w:id="32">
    <w:p>
      <w:pPr>
        <w:pStyle w:val="Normal"/>
        <w:ind w:firstLine="709" w:left="0" w:right="0"/>
        <w:jc w:val="both"/>
        <w:rPr/>
      </w:pPr>
      <w:r>
        <w:rPr>
          <w:rStyle w:val="Style11"/>
        </w:rPr>
        <w:footnoteRef/>
      </w:r>
      <w:r>
        <w:rPr>
          <w:rFonts w:ascii="Times New Roman" w:hAnsi="Times New Roman"/>
          <w:sz w:val="20"/>
        </w:rPr>
        <w:t xml:space="preserve"> </w:t>
      </w:r>
      <w:r>
        <w:rPr>
          <w:rFonts w:ascii="Times New Roman" w:hAnsi="Times New Roman"/>
          <w:sz w:val="20"/>
        </w:rPr>
        <w:t>Здесь представлена вторая часть инструктажа, проводимая с 10:00. Первая часть инструктажа, проводимая с 09:50, совпадает с первой частью Инструкции для участника экзамена, зачитываемой организатором в аудитории перед началом экзамена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p>
    <w:pPr>
      <w:pStyle w:val="Normal"/>
      <w:rPr/>
    </w:pPr>
    <w:r>
      <w:rPr/>
    </w:r>
    <w:r>
      <mc:AlternateContent>
        <mc:Choice Requires="wps">
          <w:drawing>
            <wp:anchor behindDoc="0" distT="0" distB="0" distL="0" distR="0" simplePos="0" locked="0" layoutInCell="0" allowOverlap="1" relativeHeight="30">
              <wp:simplePos x="0" y="0"/>
              <wp:positionH relativeFrom="margin">
                <wp:align>center</wp:align>
              </wp:positionH>
              <wp:positionV relativeFrom="paragraph">
                <wp:posOffset>635</wp:posOffset>
              </wp:positionV>
              <wp:extent cx="404495" cy="204470"/>
              <wp:effectExtent l="0" t="0" r="0" b="0"/>
              <wp:wrapSquare wrapText="bothSides"/>
              <wp:docPr id="2" name="Врезка1"/>
              <a:graphic xmlns:a="http://schemas.openxmlformats.org/drawingml/2006/main">
                <a:graphicData uri="http://schemas.microsoft.com/office/word/2010/wordprocessingShape">
                  <wps:wsp>
                    <wps:cNvSpPr txBox="1"/>
                    <wps:spPr>
                      <a:xfrm>
                        <a:off x="0" y="0"/>
                        <a:ext cx="404495" cy="204470"/>
                      </a:xfrm>
                      <a:prstGeom prst="rect"/>
                      <a:solidFill>
                        <a:srgbClr val="FFFFFF">
                          <a:alpha val="0"/>
                        </a:srgbClr>
                      </a:solidFill>
                    </wps:spPr>
                    <wps:txbx>
                      <w:txbxContent>
                        <w:p>
                          <w:pPr>
                            <w:pStyle w:val="Normal"/>
                            <w:pBd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 ARABIC </w:instrText>
                          </w:r>
                          <w:r>
                            <w:rPr>
                              <w:sz w:val="28"/>
                              <w:szCs w:val="28"/>
                              <w:rFonts w:ascii="Times New Roman" w:hAnsi="Times New Roman"/>
                            </w:rPr>
                            <w:fldChar w:fldCharType="separate"/>
                          </w:r>
                          <w:r>
                            <w:rPr>
                              <w:sz w:val="28"/>
                              <w:szCs w:val="28"/>
                              <w:rFonts w:ascii="Times New Roman" w:hAnsi="Times New Roman"/>
                            </w:rPr>
                            <w:t>107</w:t>
                          </w:r>
                          <w:r>
                            <w:rPr>
                              <w:sz w:val="28"/>
                              <w:szCs w:val="28"/>
                              <w:rFonts w:ascii="Times New Roman" w:hAnsi="Times New Roman"/>
                            </w:rPr>
                            <w:fldChar w:fldCharType="end"/>
                          </w:r>
                        </w:p>
                      </w:txbxContent>
                    </wps:txbx>
                    <wps:bodyPr anchor="t" lIns="0" tIns="0" rIns="0" bIns="0">
                      <a:spAutoFit/>
                    </wps:bodyPr>
                  </wps:wsp>
                </a:graphicData>
              </a:graphic>
            </wp:anchor>
          </w:drawing>
        </mc:Choice>
        <mc:Fallback>
          <w:pict>
            <v:rect fillcolor="#FFFFFF" style="position:absolute;rotation:-0;width:31.85pt;height:16.1pt;mso-wrap-distance-left:0pt;mso-wrap-distance-right:0pt;mso-wrap-distance-top:0pt;mso-wrap-distance-bottom:0pt;margin-top:0.05pt;mso-position-vertical-relative:text;margin-left:239.2pt;mso-position-horizontal:center;mso-position-horizontal-relative:margin">
              <v:fill opacity="0f"/>
              <v:textbox inset="0in,0in,0in,0in">
                <w:txbxContent>
                  <w:p>
                    <w:pPr>
                      <w:pStyle w:val="Normal"/>
                      <w:pBd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 ARABIC </w:instrText>
                    </w:r>
                    <w:r>
                      <w:rPr>
                        <w:sz w:val="28"/>
                        <w:szCs w:val="28"/>
                        <w:rFonts w:ascii="Times New Roman" w:hAnsi="Times New Roman"/>
                      </w:rPr>
                      <w:fldChar w:fldCharType="separate"/>
                    </w:r>
                    <w:r>
                      <w:rPr>
                        <w:sz w:val="28"/>
                        <w:szCs w:val="28"/>
                        <w:rFonts w:ascii="Times New Roman" w:hAnsi="Times New Roman"/>
                      </w:rPr>
                      <w:t>107</w:t>
                    </w:r>
                    <w:r>
                      <w:rPr>
                        <w:sz w:val="28"/>
                        <w:szCs w:val="28"/>
                        <w:rFonts w:ascii="Times New Roman" w:hAnsi="Times New Roman"/>
                      </w:rPr>
                      <w:fldChar w:fldCharType="end"/>
                    </w:r>
                  </w:p>
                </w:txbxContent>
              </v:textbox>
              <w10:wrap type="squar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2"/>
      <w:numFmt w:val="decimal"/>
      <w:lvlText w:val="%1."/>
      <w:lvlJc w:val="left"/>
      <w:pPr>
        <w:tabs>
          <w:tab w:val="num" w:pos="0"/>
        </w:tabs>
        <w:ind w:left="4298" w:hanging="360"/>
      </w:pPr>
      <w:rPr>
        <w:b/>
        <w:bCs/>
        <w:rFonts w:ascii="Times New Roman" w:hAnsi="Times New Roman"/>
      </w:rPr>
    </w:lvl>
    <w:lvl w:ilvl="1">
      <w:start w:val="1"/>
      <w:numFmt w:val="lowerLetter"/>
      <w:lvlText w:val="%2."/>
      <w:lvlJc w:val="left"/>
      <w:pPr>
        <w:tabs>
          <w:tab w:val="num" w:pos="0"/>
        </w:tabs>
        <w:ind w:left="5018" w:hanging="360"/>
      </w:pPr>
      <w:rPr/>
    </w:lvl>
    <w:lvl w:ilvl="2">
      <w:start w:val="1"/>
      <w:numFmt w:val="lowerRoman"/>
      <w:lvlText w:val="%3."/>
      <w:lvlJc w:val="right"/>
      <w:pPr>
        <w:tabs>
          <w:tab w:val="num" w:pos="0"/>
        </w:tabs>
        <w:ind w:left="5738" w:hanging="180"/>
      </w:pPr>
      <w:rPr/>
    </w:lvl>
    <w:lvl w:ilvl="3">
      <w:start w:val="1"/>
      <w:numFmt w:val="decimal"/>
      <w:lvlText w:val="%4."/>
      <w:lvlJc w:val="left"/>
      <w:pPr>
        <w:tabs>
          <w:tab w:val="num" w:pos="0"/>
        </w:tabs>
        <w:ind w:left="6458" w:hanging="360"/>
      </w:pPr>
      <w:rPr/>
    </w:lvl>
    <w:lvl w:ilvl="4">
      <w:start w:val="1"/>
      <w:numFmt w:val="lowerLetter"/>
      <w:lvlText w:val="%5."/>
      <w:lvlJc w:val="left"/>
      <w:pPr>
        <w:tabs>
          <w:tab w:val="num" w:pos="0"/>
        </w:tabs>
        <w:ind w:left="7178" w:hanging="360"/>
      </w:pPr>
      <w:rPr/>
    </w:lvl>
    <w:lvl w:ilvl="5">
      <w:start w:val="1"/>
      <w:numFmt w:val="lowerRoman"/>
      <w:lvlText w:val="%6."/>
      <w:lvlJc w:val="right"/>
      <w:pPr>
        <w:tabs>
          <w:tab w:val="num" w:pos="0"/>
        </w:tabs>
        <w:ind w:left="7898" w:hanging="180"/>
      </w:pPr>
      <w:rPr/>
    </w:lvl>
    <w:lvl w:ilvl="6">
      <w:start w:val="1"/>
      <w:numFmt w:val="decimal"/>
      <w:lvlText w:val="%7."/>
      <w:lvlJc w:val="left"/>
      <w:pPr>
        <w:tabs>
          <w:tab w:val="num" w:pos="0"/>
        </w:tabs>
        <w:ind w:left="8618" w:hanging="360"/>
      </w:pPr>
      <w:rPr/>
    </w:lvl>
    <w:lvl w:ilvl="7">
      <w:start w:val="1"/>
      <w:numFmt w:val="lowerLetter"/>
      <w:lvlText w:val="%8."/>
      <w:lvlJc w:val="left"/>
      <w:pPr>
        <w:tabs>
          <w:tab w:val="num" w:pos="0"/>
        </w:tabs>
        <w:ind w:left="9338" w:hanging="360"/>
      </w:pPr>
      <w:rPr/>
    </w:lvl>
    <w:lvl w:ilvl="8">
      <w:start w:val="1"/>
      <w:numFmt w:val="lowerRoman"/>
      <w:lvlText w:val="%9."/>
      <w:lvlJc w:val="right"/>
      <w:pPr>
        <w:tabs>
          <w:tab w:val="num" w:pos="0"/>
        </w:tabs>
        <w:ind w:left="10058" w:hanging="180"/>
      </w:pPr>
      <w:rPr/>
    </w:lvl>
  </w:abstractNum>
  <w:abstractNum w:abstractNumId="2">
    <w:lvl w:ilvl="0">
      <w:start w:val="2"/>
      <w:numFmt w:val="decimal"/>
      <w:lvlText w:val="%1."/>
      <w:lvlJc w:val="left"/>
      <w:pPr>
        <w:tabs>
          <w:tab w:val="num" w:pos="720"/>
        </w:tabs>
        <w:ind w:left="720" w:hanging="360"/>
      </w:pPr>
      <w:rPr>
        <w:sz w:val="28"/>
        <w:szCs w:val="28"/>
        <w:rFonts w:ascii="Times New Roman" w:hAnsi="Times New Roman"/>
      </w:rPr>
    </w:lvl>
    <w:lvl w:ilvl="1">
      <w:start w:val="1"/>
      <w:numFmt w:val="decimal"/>
      <w:lvlText w:val="%1.%2."/>
      <w:lvlJc w:val="left"/>
      <w:pPr>
        <w:tabs>
          <w:tab w:val="num" w:pos="1080"/>
        </w:tabs>
        <w:ind w:left="1080" w:hanging="360"/>
      </w:pPr>
      <w:rPr>
        <w:sz w:val="28"/>
        <w:szCs w:val="28"/>
        <w:rFonts w:ascii="Times New Roman" w:hAnsi="Times New Roman"/>
      </w:rPr>
    </w:lvl>
    <w:lvl w:ilvl="2">
      <w:start w:val="1"/>
      <w:numFmt w:val="lowerLetter"/>
      <w:lvlText w:val="%3)"/>
      <w:lvlJc w:val="left"/>
      <w:pPr>
        <w:tabs>
          <w:tab w:val="num" w:pos="1440"/>
        </w:tabs>
        <w:ind w:left="1440" w:hanging="360"/>
      </w:pPr>
      <w:rPr>
        <w:sz w:val="28"/>
        <w:szCs w:val="28"/>
        <w:rFonts w:ascii="Times New Roman" w:hAnsi="Times New Roman"/>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60"/>
  <w:defaultTabStop w:val="708"/>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XO Thames" w:hAnsi="XO Thames" w:eastAsia="Tahoma" w:cs="Lohit Devanagari"/>
        <w:color w:val="000000"/>
        <w:sz w:val="24"/>
        <w:lang w:val="ru-RU" w:eastAsia="zh-CN" w:bidi="hi-IN"/>
      </w:rPr>
    </w:rPrDefault>
    <w:pPrDefault>
      <w:pPr>
        <w:suppressAutoHyphens w:val="true"/>
      </w:pPr>
    </w:pPrDefault>
  </w:docDefaults>
  <w:latentStyles w:defLockedState="0" w:defUIPriority="99" w:defSemiHidden="1" w:defUnhideWhenUsed="1" w:defQFormat="0" w:count="24">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itle" w:uiPriority="10" w:semiHidden="0" w:unhideWhenUsed="0" w:qFormat="1"/>
    <w:lsdException w:name="Subtitle" w:uiPriority="11" w:semiHidden="0" w:unhideWhenUsed="0" w:qFormat="1"/>
    <w:lsdException w:name="Header and Footer" w:semiHidden="0" w:unhideWhenUsed="0" w:qFormat="0"/>
    <w:lsdException w:name="Footnote" w:semiHidden="0" w:unhideWhenUsed="0" w:qFormat="0"/>
    <w:lsdException w:name="toc 1" w:uiPriority="39" w:semiHidden="0" w:unhideWhenUsed="0" w:qFormat="0"/>
    <w:lsdException w:name="toc 2" w:uiPriority="39" w:semiHidden="0" w:unhideWhenUsed="0" w:qFormat="0"/>
    <w:lsdException w:name="toc 3" w:uiPriority="39" w:semiHidden="0" w:unhideWhenUsed="0" w:qFormat="0"/>
    <w:lsdException w:name="toc 4" w:uiPriority="39" w:semiHidden="0" w:unhideWhenUsed="0" w:qFormat="0"/>
    <w:lsdException w:name="toc 5" w:uiPriority="39" w:semiHidden="0" w:unhideWhenUsed="0" w:qFormat="0"/>
    <w:lsdException w:name="toc 6" w:uiPriority="39" w:semiHidden="0" w:unhideWhenUsed="0" w:qFormat="0"/>
    <w:lsdException w:name="toc 7" w:uiPriority="39" w:semiHidden="0" w:unhideWhenUsed="0" w:qFormat="0"/>
    <w:lsdException w:name="toc 8" w:uiPriority="39" w:semiHidden="0" w:unhideWhenUsed="0" w:qFormat="0"/>
    <w:lsdException w:name="toc 9" w:uiPriority="39" w:semiHidden="0" w:unhideWhenUsed="0" w:qFormat="0"/>
    <w:lsdException w:name="Hyperlink" w:semiHidden="0" w:unhideWhenUsed="0" w:qFormat="0"/>
  </w:latentStyles>
  <w:style w:type="paragraph" w:styleId="Normal" w:default="1">
    <w:name w:val="Normal"/>
    <w:uiPriority w:val="0"/>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Heading1">
    <w:name w:val="Heading 1"/>
    <w:next w:val="Normal"/>
    <w:uiPriority w:val="9"/>
    <w:qFormat/>
    <w:pPr>
      <w:widowControl/>
      <w:bidi w:val="0"/>
      <w:spacing w:lineRule="auto" w:line="240" w:before="120" w:after="120"/>
      <w:ind w:hanging="0" w:left="0" w:right="0"/>
      <w:jc w:val="both"/>
      <w:outlineLvl w:val="0"/>
    </w:pPr>
    <w:rPr>
      <w:rFonts w:ascii="XO Thames" w:hAnsi="XO Thames" w:eastAsia="Tahoma" w:cs="Lohit Devanagari"/>
      <w:b/>
      <w:color w:val="000000"/>
      <w:spacing w:val="0"/>
      <w:kern w:val="0"/>
      <w:sz w:val="32"/>
      <w:szCs w:val="20"/>
      <w:lang w:val="ru-RU" w:eastAsia="zh-CN" w:bidi="hi-IN"/>
    </w:rPr>
  </w:style>
  <w:style w:type="paragraph" w:styleId="Heading2">
    <w:name w:val="Heading 2"/>
    <w:next w:val="Normal"/>
    <w:uiPriority w:val="9"/>
    <w:qFormat/>
    <w:pPr>
      <w:widowControl/>
      <w:bidi w:val="0"/>
      <w:spacing w:lineRule="auto" w:line="240" w:before="120" w:after="120"/>
      <w:ind w:hanging="0" w:left="0" w:right="0"/>
      <w:jc w:val="both"/>
      <w:outlineLvl w:val="1"/>
    </w:pPr>
    <w:rPr>
      <w:rFonts w:ascii="XO Thames" w:hAnsi="XO Thames" w:eastAsia="Tahoma" w:cs="Lohit Devanagari"/>
      <w:b/>
      <w:color w:val="000000"/>
      <w:spacing w:val="0"/>
      <w:kern w:val="0"/>
      <w:sz w:val="28"/>
      <w:szCs w:val="20"/>
      <w:lang w:val="ru-RU" w:eastAsia="zh-CN" w:bidi="hi-IN"/>
    </w:rPr>
  </w:style>
  <w:style w:type="paragraph" w:styleId="Heading3">
    <w:name w:val="Heading 3"/>
    <w:next w:val="Normal"/>
    <w:uiPriority w:val="9"/>
    <w:qFormat/>
    <w:pPr>
      <w:widowControl/>
      <w:bidi w:val="0"/>
      <w:spacing w:lineRule="auto" w:line="240" w:before="120" w:after="120"/>
      <w:ind w:hanging="0" w:left="0" w:right="0"/>
      <w:jc w:val="both"/>
      <w:outlineLvl w:val="2"/>
    </w:pPr>
    <w:rPr>
      <w:rFonts w:ascii="XO Thames" w:hAnsi="XO Thames" w:eastAsia="Tahoma" w:cs="Lohit Devanagari"/>
      <w:b/>
      <w:color w:val="000000"/>
      <w:spacing w:val="0"/>
      <w:kern w:val="0"/>
      <w:sz w:val="26"/>
      <w:szCs w:val="20"/>
      <w:lang w:val="ru-RU" w:eastAsia="zh-CN" w:bidi="hi-IN"/>
    </w:rPr>
  </w:style>
  <w:style w:type="paragraph" w:styleId="Heading4">
    <w:name w:val="Heading 4"/>
    <w:next w:val="Normal"/>
    <w:uiPriority w:val="9"/>
    <w:qFormat/>
    <w:pPr>
      <w:widowControl/>
      <w:bidi w:val="0"/>
      <w:spacing w:lineRule="auto" w:line="240" w:before="120" w:after="120"/>
      <w:ind w:hanging="0" w:left="0" w:right="0"/>
      <w:jc w:val="both"/>
      <w:outlineLvl w:val="3"/>
    </w:pPr>
    <w:rPr>
      <w:rFonts w:ascii="XO Thames" w:hAnsi="XO Thames" w:eastAsia="Tahoma" w:cs="Lohit Devanagari"/>
      <w:b/>
      <w:color w:val="000000"/>
      <w:spacing w:val="0"/>
      <w:kern w:val="0"/>
      <w:sz w:val="24"/>
      <w:szCs w:val="20"/>
      <w:lang w:val="ru-RU" w:eastAsia="zh-CN" w:bidi="hi-IN"/>
    </w:rPr>
  </w:style>
  <w:style w:type="paragraph" w:styleId="Heading5">
    <w:name w:val="Heading 5"/>
    <w:next w:val="Normal"/>
    <w:uiPriority w:val="9"/>
    <w:qFormat/>
    <w:pPr>
      <w:widowControl/>
      <w:bidi w:val="0"/>
      <w:spacing w:lineRule="auto" w:line="240" w:before="120" w:after="120"/>
      <w:ind w:hanging="0" w:left="0" w:right="0"/>
      <w:jc w:val="both"/>
      <w:outlineLvl w:val="4"/>
    </w:pPr>
    <w:rPr>
      <w:rFonts w:ascii="XO Thames" w:hAnsi="XO Thames" w:eastAsia="Tahoma" w:cs="Lohit Devanagari"/>
      <w:b/>
      <w:color w:val="000000"/>
      <w:spacing w:val="0"/>
      <w:kern w:val="0"/>
      <w:sz w:val="22"/>
      <w:szCs w:val="20"/>
      <w:lang w:val="ru-RU" w:eastAsia="zh-CN" w:bidi="hi-IN"/>
    </w:rPr>
  </w:style>
  <w:style w:type="character" w:styleId="Contents91111">
    <w:name w:val="Contents 91111"/>
    <w:link w:val="Contents911111"/>
    <w:qFormat/>
    <w:rPr>
      <w:sz w:val="28"/>
    </w:rPr>
  </w:style>
  <w:style w:type="character" w:styleId="Title2111">
    <w:name w:val="Title2111"/>
    <w:link w:val="Title21111"/>
    <w:qFormat/>
    <w:rPr>
      <w:b/>
      <w:caps/>
      <w:sz w:val="40"/>
    </w:rPr>
  </w:style>
  <w:style w:type="character" w:styleId="List1">
    <w:name w:val="List1"/>
    <w:basedOn w:val="Textbody"/>
    <w:qFormat/>
    <w:rPr/>
  </w:style>
  <w:style w:type="character" w:styleId="Contents2">
    <w:name w:val="Contents 2"/>
    <w:qFormat/>
    <w:rPr>
      <w:rFonts w:ascii="Times New Roman" w:hAnsi="Times New Roman"/>
      <w:sz w:val="28"/>
    </w:rPr>
  </w:style>
  <w:style w:type="character" w:styleId="Contents2311">
    <w:name w:val="Contents 2311"/>
    <w:link w:val="Contents23111"/>
    <w:qFormat/>
    <w:rPr>
      <w:rFonts w:ascii="Times New Roman" w:hAnsi="Times New Roman"/>
      <w:sz w:val="28"/>
    </w:rPr>
  </w:style>
  <w:style w:type="character" w:styleId="FootnoteSymbol2">
    <w:name w:val="Footnote Symbol2"/>
    <w:link w:val="FootnoteSymbol21"/>
    <w:qFormat/>
    <w:rPr>
      <w:vertAlign w:val="superscript"/>
    </w:rPr>
  </w:style>
  <w:style w:type="character" w:styleId="Contents52111">
    <w:name w:val="Contents 52111"/>
    <w:link w:val="Contents521111"/>
    <w:qFormat/>
    <w:rPr>
      <w:sz w:val="28"/>
    </w:rPr>
  </w:style>
  <w:style w:type="character" w:styleId="Subtitle2111">
    <w:name w:val="Subtitle2111"/>
    <w:link w:val="Subtitle21111"/>
    <w:qFormat/>
    <w:rPr>
      <w:i/>
    </w:rPr>
  </w:style>
  <w:style w:type="character" w:styleId="Contents4">
    <w:name w:val="Contents 4"/>
    <w:qFormat/>
    <w:rPr>
      <w:sz w:val="28"/>
    </w:rPr>
  </w:style>
  <w:style w:type="character" w:styleId="Contents62111">
    <w:name w:val="Contents 62111"/>
    <w:link w:val="Contents621111"/>
    <w:qFormat/>
    <w:rPr>
      <w:sz w:val="28"/>
    </w:rPr>
  </w:style>
  <w:style w:type="character" w:styleId="11">
    <w:name w:val="Ссылка указателя11"/>
    <w:link w:val="1112"/>
    <w:qFormat/>
    <w:rPr/>
  </w:style>
  <w:style w:type="character" w:styleId="Footer12">
    <w:name w:val="Footer12"/>
    <w:basedOn w:val="1111"/>
    <w:link w:val="Footer121"/>
    <w:qFormat/>
    <w:rPr/>
  </w:style>
  <w:style w:type="character" w:styleId="Contents6">
    <w:name w:val="Contents 6"/>
    <w:qFormat/>
    <w:rPr>
      <w:sz w:val="28"/>
    </w:rPr>
  </w:style>
  <w:style w:type="character" w:styleId="Contents7">
    <w:name w:val="Contents 7"/>
    <w:qFormat/>
    <w:rPr>
      <w:sz w:val="28"/>
    </w:rPr>
  </w:style>
  <w:style w:type="character" w:styleId="ContentsHeading211">
    <w:name w:val="Contents Heading211"/>
    <w:basedOn w:val="IndexHeading1211"/>
    <w:link w:val="ContentsHeading2111"/>
    <w:qFormat/>
    <w:rPr/>
  </w:style>
  <w:style w:type="character" w:styleId="Textbody2">
    <w:name w:val="Text body2"/>
    <w:link w:val="Textbody21"/>
    <w:qFormat/>
    <w:rPr/>
  </w:style>
  <w:style w:type="character" w:styleId="Contents5">
    <w:name w:val="Contents 5"/>
    <w:link w:val="Contents52"/>
    <w:qFormat/>
    <w:rPr>
      <w:rFonts w:ascii="XO Thames" w:hAnsi="XO Thames"/>
      <w:color w:val="000000"/>
      <w:spacing w:val="0"/>
      <w:sz w:val="28"/>
    </w:rPr>
  </w:style>
  <w:style w:type="character" w:styleId="111">
    <w:name w:val="Заголовок11"/>
    <w:link w:val="1113"/>
    <w:qFormat/>
    <w:rPr>
      <w:rFonts w:ascii="Open Sans" w:hAnsi="Open Sans"/>
      <w:sz w:val="28"/>
    </w:rPr>
  </w:style>
  <w:style w:type="character" w:styleId="EndnoteSymbol211">
    <w:name w:val="Endnote Symbol211"/>
    <w:link w:val="EndnoteSymbol2111"/>
    <w:qFormat/>
    <w:rPr>
      <w:vertAlign w:val="superscript"/>
    </w:rPr>
  </w:style>
  <w:style w:type="character" w:styleId="Heading31">
    <w:name w:val="Heading 31"/>
    <w:qFormat/>
    <w:rPr>
      <w:b/>
      <w:sz w:val="26"/>
    </w:rPr>
  </w:style>
  <w:style w:type="character" w:styleId="Contents23">
    <w:name w:val="Contents 23"/>
    <w:link w:val="Contents231"/>
    <w:qFormat/>
    <w:rPr>
      <w:rFonts w:ascii="Times New Roman" w:hAnsi="Times New Roman"/>
      <w:sz w:val="28"/>
    </w:rPr>
  </w:style>
  <w:style w:type="character" w:styleId="Contents221">
    <w:name w:val="Contents 221"/>
    <w:link w:val="Contents2211"/>
    <w:qFormat/>
    <w:rPr>
      <w:rFonts w:ascii="Times New Roman" w:hAnsi="Times New Roman"/>
      <w:sz w:val="28"/>
    </w:rPr>
  </w:style>
  <w:style w:type="character" w:styleId="Indexheading1">
    <w:name w:val="index heading1"/>
    <w:basedOn w:val="111111"/>
    <w:link w:val="Indexheading3"/>
    <w:qFormat/>
    <w:rPr>
      <w:b/>
      <w:sz w:val="32"/>
    </w:rPr>
  </w:style>
  <w:style w:type="character" w:styleId="Contents821">
    <w:name w:val="Contents 821"/>
    <w:link w:val="Contents8211"/>
    <w:qFormat/>
    <w:rPr>
      <w:sz w:val="28"/>
    </w:rPr>
  </w:style>
  <w:style w:type="character" w:styleId="Heading421">
    <w:name w:val="Heading 421"/>
    <w:link w:val="Heading4211"/>
    <w:qFormat/>
    <w:rPr>
      <w:b/>
    </w:rPr>
  </w:style>
  <w:style w:type="character" w:styleId="Footnote1">
    <w:name w:val="Footnote1"/>
    <w:link w:val="Footnote11"/>
    <w:qFormat/>
    <w:rPr/>
  </w:style>
  <w:style w:type="character" w:styleId="Subtitle11111">
    <w:name w:val="Subtitle11111"/>
    <w:link w:val="Subtitle111111"/>
    <w:qFormat/>
    <w:rPr>
      <w:i/>
    </w:rPr>
  </w:style>
  <w:style w:type="character" w:styleId="Contents121">
    <w:name w:val="Contents 121"/>
    <w:link w:val="Contents1211"/>
    <w:qFormat/>
    <w:rPr>
      <w:rFonts w:ascii="Times New Roman" w:hAnsi="Times New Roman"/>
      <w:sz w:val="28"/>
    </w:rPr>
  </w:style>
  <w:style w:type="character" w:styleId="List12">
    <w:name w:val="List12"/>
    <w:basedOn w:val="Textbody2"/>
    <w:link w:val="List121"/>
    <w:qFormat/>
    <w:rPr/>
  </w:style>
  <w:style w:type="character" w:styleId="IndexHeading11">
    <w:name w:val="Index Heading11"/>
    <w:basedOn w:val="111111"/>
    <w:link w:val="IndexHeading111"/>
    <w:qFormat/>
    <w:rPr>
      <w:b/>
      <w:sz w:val="32"/>
    </w:rPr>
  </w:style>
  <w:style w:type="character" w:styleId="Style9">
    <w:name w:val="Символ концевой сноски"/>
    <w:link w:val="12"/>
    <w:qFormat/>
    <w:rPr>
      <w:vertAlign w:val="superscript"/>
    </w:rPr>
  </w:style>
  <w:style w:type="character" w:styleId="EndnoteReference">
    <w:name w:val="Endnote Reference"/>
    <w:rPr>
      <w:vertAlign w:val="superscript"/>
    </w:rPr>
  </w:style>
  <w:style w:type="character" w:styleId="Contents8">
    <w:name w:val="Contents 8"/>
    <w:link w:val="Contents82"/>
    <w:qFormat/>
    <w:rPr>
      <w:rFonts w:ascii="XO Thames" w:hAnsi="XO Thames"/>
      <w:color w:val="000000"/>
      <w:spacing w:val="0"/>
      <w:sz w:val="28"/>
    </w:rPr>
  </w:style>
  <w:style w:type="character" w:styleId="Heading2111">
    <w:name w:val="Heading 2111"/>
    <w:link w:val="Heading21111"/>
    <w:qFormat/>
    <w:rPr>
      <w:b/>
      <w:sz w:val="28"/>
    </w:rPr>
  </w:style>
  <w:style w:type="character" w:styleId="Footnote111">
    <w:name w:val="Footnote111"/>
    <w:link w:val="Footnote1111"/>
    <w:qFormat/>
    <w:rPr/>
  </w:style>
  <w:style w:type="character" w:styleId="Contents3311">
    <w:name w:val="Contents 3311"/>
    <w:link w:val="Contents33111"/>
    <w:qFormat/>
    <w:rPr>
      <w:rFonts w:ascii="Times New Roman" w:hAnsi="Times New Roman"/>
      <w:sz w:val="28"/>
    </w:rPr>
  </w:style>
  <w:style w:type="character" w:styleId="Textbody211">
    <w:name w:val="Text body211"/>
    <w:link w:val="Textbody2111"/>
    <w:qFormat/>
    <w:rPr/>
  </w:style>
  <w:style w:type="character" w:styleId="Heading211111">
    <w:name w:val="Heading 211111"/>
    <w:link w:val="Heading2111111"/>
    <w:qFormat/>
    <w:rPr>
      <w:b/>
      <w:sz w:val="28"/>
    </w:rPr>
  </w:style>
  <w:style w:type="character" w:styleId="Style10">
    <w:name w:val="Колонтитул"/>
    <w:link w:val="1"/>
    <w:qFormat/>
    <w:rPr>
      <w:sz w:val="20"/>
    </w:rPr>
  </w:style>
  <w:style w:type="character" w:styleId="Textbody">
    <w:name w:val="Text body"/>
    <w:qFormat/>
    <w:rPr/>
  </w:style>
  <w:style w:type="character" w:styleId="11111">
    <w:name w:val="Указатель11111"/>
    <w:link w:val="1111111"/>
    <w:qFormat/>
    <w:rPr/>
  </w:style>
  <w:style w:type="character" w:styleId="Contents9">
    <w:name w:val="Contents 9"/>
    <w:link w:val="Contents92"/>
    <w:qFormat/>
    <w:rPr>
      <w:rFonts w:ascii="XO Thames" w:hAnsi="XO Thames"/>
      <w:color w:val="000000"/>
      <w:spacing w:val="0"/>
      <w:sz w:val="28"/>
    </w:rPr>
  </w:style>
  <w:style w:type="character" w:styleId="Heading411111">
    <w:name w:val="Heading 411111"/>
    <w:link w:val="Heading4111111"/>
    <w:qFormat/>
    <w:rPr>
      <w:b/>
    </w:rPr>
  </w:style>
  <w:style w:type="character" w:styleId="Footnote21">
    <w:name w:val="Footnote21"/>
    <w:link w:val="Footnote211"/>
    <w:qFormat/>
    <w:rPr/>
  </w:style>
  <w:style w:type="character" w:styleId="Header1">
    <w:name w:val="Header1"/>
    <w:basedOn w:val="1111"/>
    <w:link w:val="Header11"/>
    <w:qFormat/>
    <w:rPr>
      <w:rFonts w:ascii="XO Thames" w:hAnsi="XO Thames"/>
      <w:color w:val="000000"/>
      <w:spacing w:val="0"/>
      <w:sz w:val="20"/>
    </w:rPr>
  </w:style>
  <w:style w:type="character" w:styleId="Contents1">
    <w:name w:val="Contents 1"/>
    <w:link w:val="Contents12"/>
    <w:qFormat/>
    <w:rPr>
      <w:rFonts w:ascii="Times New Roman" w:hAnsi="Times New Roman"/>
      <w:b w:val="false"/>
      <w:color w:val="000000"/>
      <w:spacing w:val="0"/>
      <w:sz w:val="28"/>
    </w:rPr>
  </w:style>
  <w:style w:type="character" w:styleId="Style11">
    <w:name w:val="Символ сноски"/>
    <w:link w:val="13"/>
    <w:qFormat/>
    <w:rPr>
      <w:vertAlign w:val="superscript"/>
    </w:rPr>
  </w:style>
  <w:style w:type="character" w:styleId="FootnoteReference">
    <w:name w:val="Footnote Reference"/>
    <w:rPr>
      <w:vertAlign w:val="superscript"/>
    </w:rPr>
  </w:style>
  <w:style w:type="character" w:styleId="EndnoteSymbol1">
    <w:name w:val="Endnote Symbol1"/>
    <w:link w:val="EndnoteSymbol11"/>
    <w:qFormat/>
    <w:rPr>
      <w:vertAlign w:val="superscript"/>
    </w:rPr>
  </w:style>
  <w:style w:type="character" w:styleId="Heading11311">
    <w:name w:val="Heading 11311"/>
    <w:link w:val="Heading113111"/>
    <w:qFormat/>
    <w:rPr>
      <w:b/>
      <w:sz w:val="32"/>
    </w:rPr>
  </w:style>
  <w:style w:type="character" w:styleId="Header1211">
    <w:name w:val="Header1211"/>
    <w:basedOn w:val="1111"/>
    <w:link w:val="Header12111"/>
    <w:qFormat/>
    <w:rPr/>
  </w:style>
  <w:style w:type="character" w:styleId="Contents82111">
    <w:name w:val="Contents 82111"/>
    <w:link w:val="Contents821111"/>
    <w:qFormat/>
    <w:rPr>
      <w:sz w:val="28"/>
    </w:rPr>
  </w:style>
  <w:style w:type="character" w:styleId="Heading3111">
    <w:name w:val="Heading 3111"/>
    <w:link w:val="Heading31111"/>
    <w:qFormat/>
    <w:rPr>
      <w:b/>
      <w:sz w:val="26"/>
    </w:rPr>
  </w:style>
  <w:style w:type="character" w:styleId="IndexHeading1211">
    <w:name w:val="Index Heading1211"/>
    <w:basedOn w:val="111111"/>
    <w:link w:val="IndexHeading12111"/>
    <w:qFormat/>
    <w:rPr>
      <w:b/>
      <w:sz w:val="32"/>
    </w:rPr>
  </w:style>
  <w:style w:type="character" w:styleId="Heading5111">
    <w:name w:val="Heading 5111"/>
    <w:link w:val="Heading51111"/>
    <w:qFormat/>
    <w:rPr>
      <w:b/>
      <w:sz w:val="22"/>
    </w:rPr>
  </w:style>
  <w:style w:type="character" w:styleId="Internetlink1111">
    <w:name w:val="Internet link1111"/>
    <w:link w:val="Internetlink11111"/>
    <w:qFormat/>
    <w:rPr>
      <w:color w:val="0000FF"/>
      <w:u w:val="single"/>
    </w:rPr>
  </w:style>
  <w:style w:type="character" w:styleId="Contents72111">
    <w:name w:val="Contents 72111"/>
    <w:link w:val="Contents721111"/>
    <w:qFormat/>
    <w:rPr>
      <w:sz w:val="28"/>
    </w:rPr>
  </w:style>
  <w:style w:type="character" w:styleId="Footer1">
    <w:name w:val="Footer1"/>
    <w:basedOn w:val="1111"/>
    <w:link w:val="Footer11"/>
    <w:qFormat/>
    <w:rPr>
      <w:rFonts w:ascii="XO Thames" w:hAnsi="XO Thames"/>
      <w:color w:val="000000"/>
      <w:spacing w:val="0"/>
      <w:sz w:val="20"/>
    </w:rPr>
  </w:style>
  <w:style w:type="character" w:styleId="Footnote2111">
    <w:name w:val="Footnote2111"/>
    <w:link w:val="Footnote21111"/>
    <w:qFormat/>
    <w:rPr/>
  </w:style>
  <w:style w:type="character" w:styleId="Footer1111">
    <w:name w:val="Footer1111"/>
    <w:basedOn w:val="1111"/>
    <w:link w:val="Footer11111"/>
    <w:qFormat/>
    <w:rPr/>
  </w:style>
  <w:style w:type="character" w:styleId="Contents3">
    <w:name w:val="Contents 3"/>
    <w:qFormat/>
    <w:rPr>
      <w:rFonts w:ascii="Times New Roman" w:hAnsi="Times New Roman"/>
      <w:sz w:val="28"/>
    </w:rPr>
  </w:style>
  <w:style w:type="character" w:styleId="112">
    <w:name w:val="Символ сноски11"/>
    <w:link w:val="1114"/>
    <w:qFormat/>
    <w:rPr>
      <w:vertAlign w:val="superscript"/>
    </w:rPr>
  </w:style>
  <w:style w:type="character" w:styleId="Annotationsubject">
    <w:name w:val="annotation subject"/>
    <w:basedOn w:val="Annotationtext"/>
    <w:link w:val="Annotationsubject1"/>
    <w:qFormat/>
    <w:rPr>
      <w:b/>
    </w:rPr>
  </w:style>
  <w:style w:type="character" w:styleId="Header2">
    <w:name w:val="Header2"/>
    <w:basedOn w:val="1111"/>
    <w:qFormat/>
    <w:rPr/>
  </w:style>
  <w:style w:type="character" w:styleId="Contents521">
    <w:name w:val="Contents 521"/>
    <w:link w:val="Contents5211"/>
    <w:qFormat/>
    <w:rPr>
      <w:sz w:val="28"/>
    </w:rPr>
  </w:style>
  <w:style w:type="character" w:styleId="Contents41">
    <w:name w:val="Contents 41"/>
    <w:link w:val="Contents42"/>
    <w:qFormat/>
    <w:rPr>
      <w:rFonts w:ascii="XO Thames" w:hAnsi="XO Thames"/>
      <w:color w:val="000000"/>
      <w:spacing w:val="0"/>
      <w:sz w:val="28"/>
    </w:rPr>
  </w:style>
  <w:style w:type="character" w:styleId="Internetlink11">
    <w:name w:val="Internet link11"/>
    <w:link w:val="Internetlink111"/>
    <w:qFormat/>
    <w:rPr>
      <w:color w:val="0000FF"/>
      <w:u w:val="single"/>
    </w:rPr>
  </w:style>
  <w:style w:type="character" w:styleId="Subtitle1">
    <w:name w:val="Subtitle1"/>
    <w:link w:val="Subtitle11"/>
    <w:qFormat/>
    <w:rPr>
      <w:rFonts w:ascii="XO Thames" w:hAnsi="XO Thames"/>
      <w:i/>
      <w:color w:val="000000"/>
      <w:spacing w:val="0"/>
      <w:sz w:val="24"/>
    </w:rPr>
  </w:style>
  <w:style w:type="character" w:styleId="Subtitle21">
    <w:name w:val="Subtitle21"/>
    <w:link w:val="Subtitle211"/>
    <w:qFormat/>
    <w:rPr>
      <w:i/>
    </w:rPr>
  </w:style>
  <w:style w:type="character" w:styleId="Footnote11111">
    <w:name w:val="Footnote11111"/>
    <w:link w:val="Footnote111111"/>
    <w:qFormat/>
    <w:rPr>
      <w:sz w:val="22"/>
    </w:rPr>
  </w:style>
  <w:style w:type="character" w:styleId="Heading512111">
    <w:name w:val="Heading 512111"/>
    <w:link w:val="Heading5121111"/>
    <w:qFormat/>
    <w:rPr>
      <w:b/>
      <w:sz w:val="22"/>
    </w:rPr>
  </w:style>
  <w:style w:type="character" w:styleId="Internetlink21">
    <w:name w:val="Internet link21"/>
    <w:link w:val="Internetlink211"/>
    <w:qFormat/>
    <w:rPr>
      <w:color w:val="0000FF"/>
      <w:u w:val="single"/>
    </w:rPr>
  </w:style>
  <w:style w:type="character" w:styleId="Contents12111">
    <w:name w:val="Contents 12111"/>
    <w:link w:val="Contents121111"/>
    <w:qFormat/>
    <w:rPr>
      <w:b/>
      <w:sz w:val="28"/>
    </w:rPr>
  </w:style>
  <w:style w:type="character" w:styleId="Style12">
    <w:name w:val="Содержимое врезки"/>
    <w:link w:val="14"/>
    <w:qFormat/>
    <w:rPr/>
  </w:style>
  <w:style w:type="character" w:styleId="Style13">
    <w:name w:val="Ссылка указателя"/>
    <w:link w:val="15"/>
    <w:qFormat/>
    <w:rPr/>
  </w:style>
  <w:style w:type="character" w:styleId="IndexHeading131">
    <w:name w:val="Index Heading131"/>
    <w:basedOn w:val="111111"/>
    <w:link w:val="IndexHeading1311"/>
    <w:qFormat/>
    <w:rPr>
      <w:b/>
      <w:sz w:val="32"/>
    </w:rPr>
  </w:style>
  <w:style w:type="character" w:styleId="Heading51">
    <w:name w:val="Heading 51"/>
    <w:qFormat/>
    <w:rPr>
      <w:b/>
      <w:sz w:val="22"/>
    </w:rPr>
  </w:style>
  <w:style w:type="character" w:styleId="FootnoteSymbol1">
    <w:name w:val="Footnote Symbol1"/>
    <w:link w:val="FootnoteSymbol11"/>
    <w:qFormat/>
    <w:rPr>
      <w:vertAlign w:val="superscript"/>
    </w:rPr>
  </w:style>
  <w:style w:type="character" w:styleId="Title11111">
    <w:name w:val="Title11111"/>
    <w:link w:val="Title111111"/>
    <w:qFormat/>
    <w:rPr>
      <w:b/>
      <w:caps/>
      <w:sz w:val="40"/>
    </w:rPr>
  </w:style>
  <w:style w:type="character" w:styleId="Caption1">
    <w:name w:val="Caption1"/>
    <w:link w:val="Caption11"/>
    <w:qFormat/>
    <w:rPr>
      <w:i/>
      <w:sz w:val="24"/>
    </w:rPr>
  </w:style>
  <w:style w:type="character" w:styleId="Contents92111">
    <w:name w:val="Contents 92111"/>
    <w:link w:val="Contents921111"/>
    <w:qFormat/>
    <w:rPr>
      <w:sz w:val="28"/>
    </w:rPr>
  </w:style>
  <w:style w:type="character" w:styleId="Heading521">
    <w:name w:val="Heading 521"/>
    <w:link w:val="Heading5211"/>
    <w:qFormat/>
    <w:rPr>
      <w:b/>
      <w:sz w:val="22"/>
    </w:rPr>
  </w:style>
  <w:style w:type="character" w:styleId="Contents51111">
    <w:name w:val="Contents 51111"/>
    <w:link w:val="Contents511111"/>
    <w:qFormat/>
    <w:rPr>
      <w:sz w:val="28"/>
    </w:rPr>
  </w:style>
  <w:style w:type="character" w:styleId="Contents81111">
    <w:name w:val="Contents 81111"/>
    <w:link w:val="Contents811111"/>
    <w:qFormat/>
    <w:rPr>
      <w:sz w:val="28"/>
    </w:rPr>
  </w:style>
  <w:style w:type="character" w:styleId="Heading22111">
    <w:name w:val="Heading 22111"/>
    <w:link w:val="Heading221111"/>
    <w:qFormat/>
    <w:rPr>
      <w:b/>
      <w:sz w:val="28"/>
    </w:rPr>
  </w:style>
  <w:style w:type="character" w:styleId="Caption2">
    <w:name w:val="caption2"/>
    <w:link w:val="Caption3"/>
    <w:qFormat/>
    <w:rPr>
      <w:i/>
    </w:rPr>
  </w:style>
  <w:style w:type="character" w:styleId="Heading11">
    <w:name w:val="Heading 11"/>
    <w:qFormat/>
    <w:rPr>
      <w:b/>
      <w:sz w:val="32"/>
    </w:rPr>
  </w:style>
  <w:style w:type="character" w:styleId="113">
    <w:name w:val="Колонтитул11"/>
    <w:link w:val="1115"/>
    <w:qFormat/>
    <w:rPr>
      <w:sz w:val="20"/>
    </w:rPr>
  </w:style>
  <w:style w:type="character" w:styleId="Contents42111">
    <w:name w:val="Contents 42111"/>
    <w:link w:val="Contents421111"/>
    <w:qFormat/>
    <w:rPr>
      <w:sz w:val="28"/>
    </w:rPr>
  </w:style>
  <w:style w:type="character" w:styleId="1111">
    <w:name w:val="Колонтитул1111"/>
    <w:link w:val="111112"/>
    <w:qFormat/>
    <w:rPr>
      <w:sz w:val="20"/>
    </w:rPr>
  </w:style>
  <w:style w:type="character" w:styleId="Textbody1">
    <w:name w:val="Text body1"/>
    <w:link w:val="Textbody11"/>
    <w:qFormat/>
    <w:rPr/>
  </w:style>
  <w:style w:type="character" w:styleId="DefaultParagraphFont">
    <w:name w:val="Default Paragraph Font"/>
    <w:link w:val="DefaultParagraphFont1"/>
    <w:qFormat/>
    <w:rPr/>
  </w:style>
  <w:style w:type="character" w:styleId="Heading321">
    <w:name w:val="Heading 321"/>
    <w:link w:val="Heading3211"/>
    <w:qFormat/>
    <w:rPr>
      <w:b/>
      <w:sz w:val="26"/>
    </w:rPr>
  </w:style>
  <w:style w:type="character" w:styleId="Hyperlink">
    <w:name w:val="Hyperlink"/>
    <w:rPr>
      <w:color w:val="0000FF"/>
      <w:u w:val="single"/>
    </w:rPr>
  </w:style>
  <w:style w:type="character" w:styleId="Footnote">
    <w:name w:val="Footnote"/>
    <w:link w:val="Footnote2"/>
    <w:qFormat/>
    <w:rPr/>
  </w:style>
  <w:style w:type="character" w:styleId="Contents11">
    <w:name w:val="Contents 11"/>
    <w:qFormat/>
    <w:rPr>
      <w:rFonts w:ascii="Times New Roman" w:hAnsi="Times New Roman"/>
      <w:sz w:val="28"/>
    </w:rPr>
  </w:style>
  <w:style w:type="character" w:styleId="Contents621">
    <w:name w:val="Contents 621"/>
    <w:link w:val="Contents6211"/>
    <w:qFormat/>
    <w:rPr>
      <w:sz w:val="28"/>
    </w:rPr>
  </w:style>
  <w:style w:type="character" w:styleId="Title121">
    <w:name w:val="Title121"/>
    <w:link w:val="Title1211"/>
    <w:qFormat/>
    <w:rPr>
      <w:b/>
      <w:caps/>
      <w:sz w:val="40"/>
    </w:rPr>
  </w:style>
  <w:style w:type="character" w:styleId="114">
    <w:name w:val="Символ концевой сноски11"/>
    <w:link w:val="1116"/>
    <w:qFormat/>
    <w:rPr>
      <w:vertAlign w:val="superscript"/>
    </w:rPr>
  </w:style>
  <w:style w:type="character" w:styleId="Subtitle111">
    <w:name w:val="Subtitle111"/>
    <w:link w:val="Subtitle1111"/>
    <w:qFormat/>
    <w:rPr>
      <w:i/>
    </w:rPr>
  </w:style>
  <w:style w:type="character" w:styleId="ContentsHeading2">
    <w:name w:val="Contents Heading2"/>
    <w:basedOn w:val="IndexHeading11"/>
    <w:link w:val="ContentsHeading21"/>
    <w:qFormat/>
    <w:rPr/>
  </w:style>
  <w:style w:type="character" w:styleId="HeaderandFooter">
    <w:name w:val="Header and Footer"/>
    <w:qFormat/>
    <w:rPr>
      <w:rFonts w:ascii="XO Thames" w:hAnsi="XO Thames"/>
      <w:sz w:val="20"/>
    </w:rPr>
  </w:style>
  <w:style w:type="character" w:styleId="Heading111">
    <w:name w:val="Heading 111"/>
    <w:link w:val="Heading112"/>
    <w:qFormat/>
    <w:rPr>
      <w:rFonts w:ascii="XO Thames" w:hAnsi="XO Thames"/>
      <w:b/>
      <w:color w:val="000000"/>
      <w:spacing w:val="0"/>
      <w:sz w:val="32"/>
    </w:rPr>
  </w:style>
  <w:style w:type="character" w:styleId="Contents22111">
    <w:name w:val="Contents 22111"/>
    <w:link w:val="Contents221111"/>
    <w:qFormat/>
    <w:rPr>
      <w:sz w:val="28"/>
    </w:rPr>
  </w:style>
  <w:style w:type="character" w:styleId="EndnoteSymbol111">
    <w:name w:val="Endnote Symbol111"/>
    <w:link w:val="EndnoteSymbol1111"/>
    <w:qFormat/>
    <w:rPr>
      <w:vertAlign w:val="superscript"/>
    </w:rPr>
  </w:style>
  <w:style w:type="character" w:styleId="ContentsHeading1">
    <w:name w:val="Contents Heading1"/>
    <w:basedOn w:val="IndexHeading2"/>
    <w:link w:val="ContentsHeading11"/>
    <w:qFormat/>
    <w:rPr>
      <w:rFonts w:ascii="Open Sans" w:hAnsi="Open Sans"/>
      <w:b/>
      <w:sz w:val="32"/>
    </w:rPr>
  </w:style>
  <w:style w:type="character" w:styleId="115">
    <w:name w:val="Указатель11"/>
    <w:link w:val="1117"/>
    <w:qFormat/>
    <w:rPr/>
  </w:style>
  <w:style w:type="character" w:styleId="Heading112111">
    <w:name w:val="Heading 112111"/>
    <w:link w:val="Heading1121111"/>
    <w:qFormat/>
    <w:rPr>
      <w:b/>
      <w:sz w:val="32"/>
    </w:rPr>
  </w:style>
  <w:style w:type="character" w:styleId="ContentsHeading">
    <w:name w:val="Contents Heading"/>
    <w:basedOn w:val="Indexheading1"/>
    <w:qFormat/>
    <w:rPr/>
  </w:style>
  <w:style w:type="character" w:styleId="Heading31311">
    <w:name w:val="Heading 31311"/>
    <w:link w:val="Heading313111"/>
    <w:qFormat/>
    <w:rPr>
      <w:b/>
      <w:sz w:val="26"/>
    </w:rPr>
  </w:style>
  <w:style w:type="character" w:styleId="Contents3111">
    <w:name w:val="Contents 3111"/>
    <w:link w:val="Contents31111"/>
    <w:qFormat/>
    <w:rPr>
      <w:rFonts w:ascii="Times New Roman" w:hAnsi="Times New Roman"/>
      <w:sz w:val="28"/>
    </w:rPr>
  </w:style>
  <w:style w:type="character" w:styleId="Caption1111">
    <w:name w:val="Caption1111"/>
    <w:link w:val="Caption11111"/>
    <w:qFormat/>
    <w:rPr>
      <w:i/>
    </w:rPr>
  </w:style>
  <w:style w:type="character" w:styleId="Contents73">
    <w:name w:val="Contents 73"/>
    <w:link w:val="Contents731"/>
    <w:qFormat/>
    <w:rPr>
      <w:sz w:val="28"/>
    </w:rPr>
  </w:style>
  <w:style w:type="character" w:styleId="Title2">
    <w:name w:val="Title2"/>
    <w:link w:val="Title21"/>
    <w:qFormat/>
    <w:rPr>
      <w:rFonts w:ascii="XO Thames" w:hAnsi="XO Thames"/>
      <w:b/>
      <w:caps/>
      <w:color w:val="000000"/>
      <w:spacing w:val="0"/>
      <w:sz w:val="40"/>
    </w:rPr>
  </w:style>
  <w:style w:type="character" w:styleId="2111">
    <w:name w:val="Колонтитул2111"/>
    <w:link w:val="211111"/>
    <w:qFormat/>
    <w:rPr/>
  </w:style>
  <w:style w:type="character" w:styleId="Contents111">
    <w:name w:val="Contents 111"/>
    <w:link w:val="Contents1111"/>
    <w:qFormat/>
    <w:rPr>
      <w:rFonts w:ascii="Times New Roman" w:hAnsi="Times New Roman"/>
      <w:sz w:val="28"/>
    </w:rPr>
  </w:style>
  <w:style w:type="character" w:styleId="Contents91">
    <w:name w:val="Contents 91"/>
    <w:qFormat/>
    <w:rPr>
      <w:sz w:val="28"/>
    </w:rPr>
  </w:style>
  <w:style w:type="character" w:styleId="Contents421">
    <w:name w:val="Contents 421"/>
    <w:link w:val="Contents4211"/>
    <w:qFormat/>
    <w:rPr>
      <w:sz w:val="28"/>
    </w:rPr>
  </w:style>
  <w:style w:type="character" w:styleId="List211">
    <w:name w:val="List211"/>
    <w:basedOn w:val="Textbody111"/>
    <w:link w:val="List2111"/>
    <w:qFormat/>
    <w:rPr/>
  </w:style>
  <w:style w:type="character" w:styleId="IndexHeading2">
    <w:name w:val="Index Heading2"/>
    <w:basedOn w:val="111111"/>
    <w:link w:val="IndexHeading21"/>
    <w:qFormat/>
    <w:rPr>
      <w:rFonts w:ascii="Open Sans" w:hAnsi="Open Sans"/>
      <w:b/>
      <w:sz w:val="32"/>
    </w:rPr>
  </w:style>
  <w:style w:type="character" w:styleId="Contents6311">
    <w:name w:val="Contents 6311"/>
    <w:link w:val="Contents63111"/>
    <w:qFormat/>
    <w:rPr>
      <w:sz w:val="28"/>
    </w:rPr>
  </w:style>
  <w:style w:type="character" w:styleId="ListParagraph">
    <w:name w:val="List Paragraph"/>
    <w:link w:val="ListParagraph1"/>
    <w:qFormat/>
    <w:rPr/>
  </w:style>
  <w:style w:type="character" w:styleId="Contents43">
    <w:name w:val="Contents 43"/>
    <w:link w:val="Contents431"/>
    <w:qFormat/>
    <w:rPr>
      <w:sz w:val="28"/>
    </w:rPr>
  </w:style>
  <w:style w:type="character" w:styleId="11112">
    <w:name w:val="Символ сноски1111"/>
    <w:link w:val="111113"/>
    <w:qFormat/>
    <w:rPr>
      <w:vertAlign w:val="superscript"/>
    </w:rPr>
  </w:style>
  <w:style w:type="character" w:styleId="Contents31">
    <w:name w:val="Contents 31"/>
    <w:link w:val="Contents311"/>
    <w:qFormat/>
    <w:rPr>
      <w:rFonts w:ascii="Times New Roman" w:hAnsi="Times New Roman"/>
      <w:b w:val="false"/>
      <w:color w:val="000000"/>
      <w:spacing w:val="0"/>
      <w:sz w:val="28"/>
    </w:rPr>
  </w:style>
  <w:style w:type="character" w:styleId="Contents81">
    <w:name w:val="Contents 81"/>
    <w:qFormat/>
    <w:rPr>
      <w:sz w:val="28"/>
    </w:rPr>
  </w:style>
  <w:style w:type="character" w:styleId="Contents911">
    <w:name w:val="Contents 911"/>
    <w:link w:val="Contents9111"/>
    <w:qFormat/>
    <w:rPr>
      <w:sz w:val="28"/>
    </w:rPr>
  </w:style>
  <w:style w:type="character" w:styleId="111111">
    <w:name w:val="Заголовок11111"/>
    <w:link w:val="1111112"/>
    <w:qFormat/>
    <w:rPr>
      <w:rFonts w:ascii="Open Sans" w:hAnsi="Open Sans"/>
      <w:sz w:val="28"/>
    </w:rPr>
  </w:style>
  <w:style w:type="character" w:styleId="1211">
    <w:name w:val="Заголовок1211"/>
    <w:link w:val="121111"/>
    <w:qFormat/>
    <w:rPr>
      <w:rFonts w:ascii="Open Sans" w:hAnsi="Open Sans"/>
      <w:sz w:val="28"/>
    </w:rPr>
  </w:style>
  <w:style w:type="character" w:styleId="Footer2">
    <w:name w:val="Footer2"/>
    <w:basedOn w:val="1111"/>
    <w:qFormat/>
    <w:rPr/>
  </w:style>
  <w:style w:type="character" w:styleId="Contents71">
    <w:name w:val="Contents 71"/>
    <w:link w:val="Contents72"/>
    <w:qFormat/>
    <w:rPr>
      <w:rFonts w:ascii="XO Thames" w:hAnsi="XO Thames"/>
      <w:color w:val="000000"/>
      <w:spacing w:val="0"/>
      <w:sz w:val="28"/>
    </w:rPr>
  </w:style>
  <w:style w:type="character" w:styleId="List1111">
    <w:name w:val="List1111"/>
    <w:basedOn w:val="Textbody211"/>
    <w:link w:val="List11111"/>
    <w:qFormat/>
    <w:rPr/>
  </w:style>
  <w:style w:type="character" w:styleId="Heading21">
    <w:name w:val="Heading 21"/>
    <w:link w:val="Heading211"/>
    <w:qFormat/>
    <w:rPr>
      <w:rFonts w:ascii="XO Thames" w:hAnsi="XO Thames"/>
      <w:b/>
      <w:color w:val="000000"/>
      <w:spacing w:val="0"/>
      <w:sz w:val="28"/>
    </w:rPr>
  </w:style>
  <w:style w:type="character" w:styleId="116">
    <w:name w:val="Содержимое врезки11"/>
    <w:link w:val="1118"/>
    <w:qFormat/>
    <w:rPr/>
  </w:style>
  <w:style w:type="character" w:styleId="List11">
    <w:name w:val="List11"/>
    <w:basedOn w:val="Textbody1"/>
    <w:link w:val="List13"/>
    <w:qFormat/>
    <w:rPr/>
  </w:style>
  <w:style w:type="character" w:styleId="21111">
    <w:name w:val="Содержимое врезки2111"/>
    <w:link w:val="211112"/>
    <w:qFormat/>
    <w:rPr/>
  </w:style>
  <w:style w:type="character" w:styleId="Heading511">
    <w:name w:val="Heading 511"/>
    <w:link w:val="Heading512"/>
    <w:qFormat/>
    <w:rPr>
      <w:rFonts w:ascii="XO Thames" w:hAnsi="XO Thames"/>
      <w:b/>
      <w:color w:val="000000"/>
      <w:spacing w:val="0"/>
      <w:sz w:val="22"/>
    </w:rPr>
  </w:style>
  <w:style w:type="character" w:styleId="Textbody111">
    <w:name w:val="Text body111"/>
    <w:link w:val="Textbody1111"/>
    <w:qFormat/>
    <w:rPr/>
  </w:style>
  <w:style w:type="character" w:styleId="Internetlink2111">
    <w:name w:val="Internet link2111"/>
    <w:link w:val="Internetlink21111"/>
    <w:qFormat/>
    <w:rPr>
      <w:color w:val="0000FF"/>
      <w:u w:val="single"/>
    </w:rPr>
  </w:style>
  <w:style w:type="character" w:styleId="Heading51311">
    <w:name w:val="Heading 51311"/>
    <w:link w:val="Heading513111"/>
    <w:qFormat/>
    <w:rPr>
      <w:b/>
      <w:sz w:val="22"/>
    </w:rPr>
  </w:style>
  <w:style w:type="character" w:styleId="Contents51">
    <w:name w:val="Contents 51"/>
    <w:qFormat/>
    <w:rPr>
      <w:sz w:val="28"/>
    </w:rPr>
  </w:style>
  <w:style w:type="character" w:styleId="Contents4311">
    <w:name w:val="Contents 4311"/>
    <w:link w:val="Contents43111"/>
    <w:qFormat/>
    <w:rPr>
      <w:sz w:val="28"/>
    </w:rPr>
  </w:style>
  <w:style w:type="character" w:styleId="EndnoteSymbol2">
    <w:name w:val="Endnote Symbol2"/>
    <w:link w:val="EndnoteSymbol21"/>
    <w:qFormat/>
    <w:rPr>
      <w:vertAlign w:val="superscript"/>
    </w:rPr>
  </w:style>
  <w:style w:type="character" w:styleId="Caption211">
    <w:name w:val="Caption211"/>
    <w:link w:val="Caption2111"/>
    <w:qFormat/>
    <w:rPr>
      <w:i/>
    </w:rPr>
  </w:style>
  <w:style w:type="character" w:styleId="11113">
    <w:name w:val="Символ концевой сноски1111"/>
    <w:link w:val="111114"/>
    <w:qFormat/>
    <w:rPr>
      <w:vertAlign w:val="superscript"/>
    </w:rPr>
  </w:style>
  <w:style w:type="character" w:styleId="Contents11111">
    <w:name w:val="Contents 11111"/>
    <w:link w:val="Contents111111"/>
    <w:qFormat/>
    <w:rPr>
      <w:rFonts w:ascii="Times New Roman" w:hAnsi="Times New Roman"/>
      <w:sz w:val="28"/>
    </w:rPr>
  </w:style>
  <w:style w:type="character" w:styleId="Contents32111">
    <w:name w:val="Contents 32111"/>
    <w:link w:val="Contents321111"/>
    <w:qFormat/>
    <w:rPr>
      <w:sz w:val="28"/>
    </w:rPr>
  </w:style>
  <w:style w:type="character" w:styleId="Caption12">
    <w:name w:val="Caption12"/>
    <w:link w:val="Caption121"/>
    <w:qFormat/>
    <w:rPr>
      <w:i/>
    </w:rPr>
  </w:style>
  <w:style w:type="character" w:styleId="Heading1111">
    <w:name w:val="Heading 1111"/>
    <w:link w:val="Heading11111"/>
    <w:qFormat/>
    <w:rPr>
      <w:b/>
      <w:sz w:val="32"/>
    </w:rPr>
  </w:style>
  <w:style w:type="character" w:styleId="Contents61">
    <w:name w:val="Contents 61"/>
    <w:link w:val="Contents62"/>
    <w:qFormat/>
    <w:rPr>
      <w:rFonts w:ascii="XO Thames" w:hAnsi="XO Thames"/>
      <w:color w:val="000000"/>
      <w:spacing w:val="0"/>
      <w:sz w:val="28"/>
    </w:rPr>
  </w:style>
  <w:style w:type="character" w:styleId="Heading312111">
    <w:name w:val="Heading 312111"/>
    <w:link w:val="Heading3121111"/>
    <w:qFormat/>
    <w:rPr>
      <w:b/>
      <w:sz w:val="26"/>
    </w:rPr>
  </w:style>
  <w:style w:type="character" w:styleId="Contents21">
    <w:name w:val="Contents 21"/>
    <w:link w:val="Contents22"/>
    <w:qFormat/>
    <w:rPr>
      <w:rFonts w:ascii="Times New Roman" w:hAnsi="Times New Roman"/>
      <w:b w:val="false"/>
      <w:color w:val="000000"/>
      <w:spacing w:val="0"/>
      <w:sz w:val="28"/>
    </w:rPr>
  </w:style>
  <w:style w:type="character" w:styleId="Contents921">
    <w:name w:val="Contents 921"/>
    <w:link w:val="Contents9211"/>
    <w:qFormat/>
    <w:rPr>
      <w:sz w:val="28"/>
    </w:rPr>
  </w:style>
  <w:style w:type="character" w:styleId="Title11">
    <w:name w:val="Title11"/>
    <w:link w:val="Title111"/>
    <w:qFormat/>
    <w:rPr>
      <w:b/>
      <w:caps/>
      <w:sz w:val="40"/>
    </w:rPr>
  </w:style>
  <w:style w:type="character" w:styleId="11114">
    <w:name w:val="Содержимое врезки1111"/>
    <w:link w:val="111115"/>
    <w:qFormat/>
    <w:rPr/>
  </w:style>
  <w:style w:type="character" w:styleId="Contents7311">
    <w:name w:val="Contents 7311"/>
    <w:link w:val="Contents73111"/>
    <w:qFormat/>
    <w:rPr>
      <w:sz w:val="28"/>
    </w:rPr>
  </w:style>
  <w:style w:type="character" w:styleId="Heading311">
    <w:name w:val="Heading 311"/>
    <w:link w:val="Heading312"/>
    <w:qFormat/>
    <w:rPr>
      <w:rFonts w:ascii="XO Thames" w:hAnsi="XO Thames"/>
      <w:b/>
      <w:color w:val="000000"/>
      <w:spacing w:val="0"/>
      <w:sz w:val="26"/>
    </w:rPr>
  </w:style>
  <w:style w:type="character" w:styleId="Header21">
    <w:name w:val="Header21"/>
    <w:basedOn w:val="1111"/>
    <w:link w:val="Header211"/>
    <w:qFormat/>
    <w:rPr/>
  </w:style>
  <w:style w:type="character" w:styleId="Heading121">
    <w:name w:val="Heading 121"/>
    <w:link w:val="Heading1211"/>
    <w:qFormat/>
    <w:rPr>
      <w:b/>
      <w:sz w:val="32"/>
    </w:rPr>
  </w:style>
  <w:style w:type="character" w:styleId="Contents32">
    <w:name w:val="Contents 32"/>
    <w:link w:val="Contents321"/>
    <w:qFormat/>
    <w:rPr>
      <w:rFonts w:ascii="Times New Roman" w:hAnsi="Times New Roman"/>
      <w:sz w:val="28"/>
    </w:rPr>
  </w:style>
  <w:style w:type="character" w:styleId="ContentsHeading111">
    <w:name w:val="Contents Heading111"/>
    <w:basedOn w:val="IndexHeading131"/>
    <w:link w:val="ContentsHeading1111"/>
    <w:qFormat/>
    <w:rPr/>
  </w:style>
  <w:style w:type="character" w:styleId="Subtitle2">
    <w:name w:val="Subtitle2"/>
    <w:qFormat/>
    <w:rPr>
      <w:i/>
    </w:rPr>
  </w:style>
  <w:style w:type="character" w:styleId="Annotationreference">
    <w:name w:val="annotation reference"/>
    <w:basedOn w:val="DefaultParagraphFont"/>
    <w:link w:val="Annotationreference1"/>
    <w:qFormat/>
    <w:rPr>
      <w:sz w:val="16"/>
    </w:rPr>
  </w:style>
  <w:style w:type="character" w:styleId="BalloonText">
    <w:name w:val="Balloon Text"/>
    <w:link w:val="BalloonText1"/>
    <w:qFormat/>
    <w:rPr>
      <w:rFonts w:ascii="Segoe UI" w:hAnsi="Segoe UI"/>
      <w:sz w:val="18"/>
    </w:rPr>
  </w:style>
  <w:style w:type="character" w:styleId="11115">
    <w:name w:val="Ссылка указателя1111"/>
    <w:link w:val="111116"/>
    <w:qFormat/>
    <w:rPr/>
  </w:style>
  <w:style w:type="character" w:styleId="12111">
    <w:name w:val="Указатель1211"/>
    <w:link w:val="121112"/>
    <w:qFormat/>
    <w:rPr/>
  </w:style>
  <w:style w:type="character" w:styleId="Title1">
    <w:name w:val="Title1"/>
    <w:qFormat/>
    <w:rPr>
      <w:b/>
      <w:caps/>
      <w:sz w:val="40"/>
    </w:rPr>
  </w:style>
  <w:style w:type="character" w:styleId="Heading41">
    <w:name w:val="Heading 41"/>
    <w:qFormat/>
    <w:rPr>
      <w:b/>
    </w:rPr>
  </w:style>
  <w:style w:type="character" w:styleId="Contents811">
    <w:name w:val="Contents 811"/>
    <w:link w:val="Contents8111"/>
    <w:qFormat/>
    <w:rPr>
      <w:sz w:val="28"/>
    </w:rPr>
  </w:style>
  <w:style w:type="character" w:styleId="Annotationtext">
    <w:name w:val="annotation text"/>
    <w:link w:val="Annotationtext1"/>
    <w:qFormat/>
    <w:rPr>
      <w:sz w:val="20"/>
    </w:rPr>
  </w:style>
  <w:style w:type="character" w:styleId="Heading411">
    <w:name w:val="Heading 411"/>
    <w:link w:val="Heading412"/>
    <w:qFormat/>
    <w:rPr>
      <w:rFonts w:ascii="XO Thames" w:hAnsi="XO Thames"/>
      <w:b/>
      <w:color w:val="000000"/>
      <w:spacing w:val="0"/>
      <w:sz w:val="24"/>
    </w:rPr>
  </w:style>
  <w:style w:type="character" w:styleId="FootnoteSymbol111">
    <w:name w:val="Footnote Symbol111"/>
    <w:link w:val="FootnoteSymbol1111"/>
    <w:qFormat/>
    <w:rPr>
      <w:vertAlign w:val="superscript"/>
    </w:rPr>
  </w:style>
  <w:style w:type="character" w:styleId="Contents721">
    <w:name w:val="Contents 721"/>
    <w:link w:val="Contents7211"/>
    <w:qFormat/>
    <w:rPr>
      <w:sz w:val="28"/>
    </w:rPr>
  </w:style>
  <w:style w:type="character" w:styleId="Contents511">
    <w:name w:val="Contents 511"/>
    <w:link w:val="Contents5111"/>
    <w:qFormat/>
    <w:rPr>
      <w:sz w:val="28"/>
    </w:rPr>
  </w:style>
  <w:style w:type="character" w:styleId="Heading22">
    <w:name w:val="Heading 22"/>
    <w:qFormat/>
    <w:rPr>
      <w:b/>
      <w:sz w:val="28"/>
    </w:rPr>
  </w:style>
  <w:style w:type="character" w:styleId="Heading221">
    <w:name w:val="Heading 221"/>
    <w:link w:val="Heading2211"/>
    <w:qFormat/>
    <w:rPr>
      <w:b/>
      <w:sz w:val="28"/>
    </w:rPr>
  </w:style>
  <w:style w:type="character" w:styleId="Contents63">
    <w:name w:val="Contents 63"/>
    <w:link w:val="Contents631"/>
    <w:qFormat/>
    <w:rPr>
      <w:sz w:val="28"/>
    </w:rPr>
  </w:style>
  <w:style w:type="character" w:styleId="Header111">
    <w:name w:val="Header111"/>
    <w:basedOn w:val="1111"/>
    <w:link w:val="Header1111"/>
    <w:qFormat/>
    <w:rPr/>
  </w:style>
  <w:style w:type="character" w:styleId="Internetlink">
    <w:name w:val="Internet link"/>
    <w:link w:val="Internetlink2"/>
    <w:qFormat/>
    <w:rPr>
      <w:color w:val="0000FF"/>
      <w:u w:val="single"/>
    </w:rPr>
  </w:style>
  <w:style w:type="character" w:styleId="Footer211">
    <w:name w:val="Footer211"/>
    <w:basedOn w:val="1111"/>
    <w:link w:val="Footer2111"/>
    <w:qFormat/>
    <w:rPr/>
  </w:style>
  <w:style w:type="character" w:styleId="Heading4111">
    <w:name w:val="Heading 4111"/>
    <w:link w:val="Heading41111"/>
    <w:qFormat/>
    <w:rPr>
      <w:b/>
    </w:rPr>
  </w:style>
  <w:style w:type="character" w:styleId="FootnoteSymbol211">
    <w:name w:val="Footnote Symbol211"/>
    <w:link w:val="FootnoteSymbol2111"/>
    <w:qFormat/>
    <w:rPr>
      <w:vertAlign w:val="superscript"/>
    </w:rPr>
  </w:style>
  <w:style w:type="character" w:styleId="Heading42111">
    <w:name w:val="Heading 42111"/>
    <w:link w:val="Heading421111"/>
    <w:qFormat/>
    <w:rPr>
      <w:b/>
    </w:rPr>
  </w:style>
  <w:style w:type="character" w:styleId="Style14">
    <w:name w:val="Символ нумерации"/>
    <w:qFormat/>
    <w:rPr>
      <w:rFonts w:ascii="Times New Roman" w:hAnsi="Times New Roman"/>
      <w:sz w:val="28"/>
      <w:szCs w:val="28"/>
    </w:rPr>
  </w:style>
  <w:style w:type="character" w:styleId="Style15">
    <w:name w:val="Маркеры"/>
    <w:qFormat/>
    <w:rPr>
      <w:rFonts w:ascii="OpenSymbol" w:hAnsi="OpenSymbol" w:eastAsia="OpenSymbol" w:cs="OpenSymbol"/>
    </w:rPr>
  </w:style>
  <w:style w:type="paragraph" w:styleId="Style16">
    <w:name w:val="Заголовок"/>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uppressLineNumbers/>
      <w:spacing w:before="120" w:after="120"/>
    </w:pPr>
    <w:rPr>
      <w:rFonts w:cs="Lohit Devanagari"/>
      <w:i/>
      <w:iCs/>
      <w:sz w:val="24"/>
      <w:szCs w:val="24"/>
    </w:rPr>
  </w:style>
  <w:style w:type="paragraph" w:styleId="Style17">
    <w:name w:val="Указатель"/>
    <w:basedOn w:val="Normal"/>
    <w:qFormat/>
    <w:pPr>
      <w:suppressLineNumbers/>
    </w:pPr>
    <w:rPr>
      <w:rFonts w:cs="Lohit Devanagari"/>
    </w:rPr>
  </w:style>
  <w:style w:type="paragraph" w:styleId="Contents911111">
    <w:name w:val="Contents 911111"/>
    <w:link w:val="Contents911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Title21111">
    <w:name w:val="Title21111"/>
    <w:link w:val="Title2111"/>
    <w:qFormat/>
    <w:pPr>
      <w:widowControl/>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TOC2">
    <w:name w:val="TOC 2"/>
    <w:next w:val="Normal"/>
    <w:uiPriority w:val="39"/>
    <w:pPr>
      <w:widowControl/>
      <w:bidi w:val="0"/>
      <w:spacing w:lineRule="auto" w:line="240" w:before="0" w:after="0"/>
      <w:ind w:hanging="0" w:left="200" w:right="0"/>
      <w:jc w:val="left"/>
    </w:pPr>
    <w:rPr>
      <w:rFonts w:ascii="Times New Roman" w:hAnsi="Times New Roman" w:eastAsia="Tahoma" w:cs="Lohit Devanagari"/>
      <w:color w:val="000000"/>
      <w:spacing w:val="0"/>
      <w:kern w:val="0"/>
      <w:sz w:val="28"/>
      <w:szCs w:val="20"/>
      <w:lang w:val="ru-RU" w:eastAsia="zh-CN" w:bidi="hi-IN"/>
    </w:rPr>
  </w:style>
  <w:style w:type="paragraph" w:styleId="Contents23111">
    <w:name w:val="Contents 23111"/>
    <w:link w:val="Contents231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FootnoteSymbol21">
    <w:name w:val="Footnote Symbol21"/>
    <w:link w:val="FootnoteSymbol2"/>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Contents521111">
    <w:name w:val="Contents 521111"/>
    <w:link w:val="Contents521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Subtitle21111">
    <w:name w:val="Subtitle21111"/>
    <w:link w:val="Subtitle2111"/>
    <w:qFormat/>
    <w:pPr>
      <w:widowControl/>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TOC4">
    <w:name w:val="TOC 4"/>
    <w:next w:val="Normal"/>
    <w:uiPriority w:val="39"/>
    <w:pPr>
      <w:widowControl/>
      <w:bidi w:val="0"/>
      <w:spacing w:lineRule="auto" w:line="240" w:before="0" w:after="0"/>
      <w:ind w:hanging="0" w:left="600" w:right="0"/>
      <w:jc w:val="left"/>
    </w:pPr>
    <w:rPr>
      <w:rFonts w:ascii="XO Thames" w:hAnsi="XO Thames" w:eastAsia="Tahoma" w:cs="Lohit Devanagari"/>
      <w:color w:val="000000"/>
      <w:spacing w:val="0"/>
      <w:kern w:val="0"/>
      <w:sz w:val="28"/>
      <w:szCs w:val="20"/>
      <w:lang w:val="ru-RU" w:eastAsia="zh-CN" w:bidi="hi-IN"/>
    </w:rPr>
  </w:style>
  <w:style w:type="paragraph" w:styleId="Contents621111">
    <w:name w:val="Contents 621111"/>
    <w:link w:val="Contents621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112">
    <w:name w:val="Ссылка указателя111"/>
    <w:link w:val="11"/>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Footer121">
    <w:name w:val="Footer121"/>
    <w:basedOn w:val="111112"/>
    <w:link w:val="Footer12"/>
    <w:qFormat/>
    <w:pPr/>
    <w:rPr/>
  </w:style>
  <w:style w:type="paragraph" w:styleId="TOC6">
    <w:name w:val="TOC 6"/>
    <w:next w:val="Normal"/>
    <w:uiPriority w:val="39"/>
    <w:pPr>
      <w:widowControl/>
      <w:bidi w:val="0"/>
      <w:spacing w:lineRule="auto" w:line="240" w:before="0" w:after="0"/>
      <w:ind w:hanging="0" w:left="1000" w:right="0"/>
      <w:jc w:val="left"/>
    </w:pPr>
    <w:rPr>
      <w:rFonts w:ascii="XO Thames" w:hAnsi="XO Thames" w:eastAsia="Tahoma" w:cs="Lohit Devanagari"/>
      <w:color w:val="000000"/>
      <w:spacing w:val="0"/>
      <w:kern w:val="0"/>
      <w:sz w:val="28"/>
      <w:szCs w:val="20"/>
      <w:lang w:val="ru-RU" w:eastAsia="zh-CN" w:bidi="hi-IN"/>
    </w:rPr>
  </w:style>
  <w:style w:type="paragraph" w:styleId="TOC7">
    <w:name w:val="TOC 7"/>
    <w:next w:val="Normal"/>
    <w:uiPriority w:val="39"/>
    <w:pPr>
      <w:widowControl/>
      <w:bidi w:val="0"/>
      <w:spacing w:lineRule="auto" w:line="240" w:before="0" w:after="0"/>
      <w:ind w:hanging="0" w:left="1200" w:right="0"/>
      <w:jc w:val="left"/>
    </w:pPr>
    <w:rPr>
      <w:rFonts w:ascii="XO Thames" w:hAnsi="XO Thames" w:eastAsia="Tahoma" w:cs="Lohit Devanagari"/>
      <w:color w:val="000000"/>
      <w:spacing w:val="0"/>
      <w:kern w:val="0"/>
      <w:sz w:val="28"/>
      <w:szCs w:val="20"/>
      <w:lang w:val="ru-RU" w:eastAsia="zh-CN" w:bidi="hi-IN"/>
    </w:rPr>
  </w:style>
  <w:style w:type="paragraph" w:styleId="ContentsHeading2111">
    <w:name w:val="Contents Heading2111"/>
    <w:basedOn w:val="IndexHeading12111"/>
    <w:link w:val="ContentsHeading211"/>
    <w:qFormat/>
    <w:pPr/>
    <w:rPr/>
  </w:style>
  <w:style w:type="paragraph" w:styleId="Textbody21">
    <w:name w:val="Text body21"/>
    <w:link w:val="Textbody2"/>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Contents52">
    <w:name w:val="Contents 52"/>
    <w:link w:val="Contents5"/>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113">
    <w:name w:val="Заголовок111"/>
    <w:basedOn w:val="Normal"/>
    <w:next w:val="BodyText"/>
    <w:link w:val="111"/>
    <w:qFormat/>
    <w:pPr>
      <w:keepNext w:val="true"/>
      <w:spacing w:before="240" w:after="120"/>
    </w:pPr>
    <w:rPr>
      <w:rFonts w:ascii="Open Sans" w:hAnsi="Open Sans"/>
      <w:sz w:val="28"/>
    </w:rPr>
  </w:style>
  <w:style w:type="paragraph" w:styleId="EndnoteSymbol2111">
    <w:name w:val="Endnote Symbol2111"/>
    <w:link w:val="EndnoteSymbol211"/>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Contents231">
    <w:name w:val="Contents 231"/>
    <w:link w:val="Contents23"/>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Contents2211">
    <w:name w:val="Contents 2211"/>
    <w:link w:val="Contents22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Indexheading3">
    <w:name w:val="index heading3"/>
    <w:basedOn w:val="1111112"/>
    <w:link w:val="Indexheading1"/>
    <w:qFormat/>
    <w:pPr/>
    <w:rPr>
      <w:b/>
      <w:sz w:val="32"/>
    </w:rPr>
  </w:style>
  <w:style w:type="paragraph" w:styleId="Contents8211">
    <w:name w:val="Contents 8211"/>
    <w:link w:val="Contents82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4211">
    <w:name w:val="Heading 4211"/>
    <w:link w:val="Heading421"/>
    <w:qFormat/>
    <w:pPr>
      <w:widowControl/>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Footnote11">
    <w:name w:val="Footnote11"/>
    <w:basedOn w:val="Normal"/>
    <w:link w:val="Footnote1"/>
    <w:qFormat/>
    <w:pPr/>
    <w:rPr/>
  </w:style>
  <w:style w:type="paragraph" w:styleId="Subtitle111111">
    <w:name w:val="Subtitle111111"/>
    <w:link w:val="Subtitle11111"/>
    <w:qFormat/>
    <w:pPr>
      <w:widowControl/>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Contents1211">
    <w:name w:val="Contents 1211"/>
    <w:link w:val="Contents12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List121">
    <w:name w:val="List121"/>
    <w:basedOn w:val="Textbody21"/>
    <w:link w:val="List12"/>
    <w:qFormat/>
    <w:pPr/>
    <w:rPr/>
  </w:style>
  <w:style w:type="paragraph" w:styleId="IndexHeading111">
    <w:name w:val="Index Heading111"/>
    <w:basedOn w:val="1111112"/>
    <w:link w:val="IndexHeading11"/>
    <w:qFormat/>
    <w:pPr/>
    <w:rPr>
      <w:b/>
      <w:sz w:val="32"/>
    </w:rPr>
  </w:style>
  <w:style w:type="paragraph" w:styleId="EndnoteSymbol">
    <w:name w:val="Endnote Symbol"/>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Contents82">
    <w:name w:val="Contents 82"/>
    <w:link w:val="Contents8"/>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21111">
    <w:name w:val="Heading 21111"/>
    <w:link w:val="Heading2111"/>
    <w:qFormat/>
    <w:pPr>
      <w:widowControl/>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Footnote1111">
    <w:name w:val="Footnote1111"/>
    <w:basedOn w:val="Normal"/>
    <w:link w:val="Footnote111"/>
    <w:qFormat/>
    <w:pPr/>
    <w:rPr/>
  </w:style>
  <w:style w:type="paragraph" w:styleId="Contents33111">
    <w:name w:val="Contents 33111"/>
    <w:link w:val="Contents331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Textbody2111">
    <w:name w:val="Text body2111"/>
    <w:link w:val="Textbody211"/>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Heading2111111">
    <w:name w:val="Heading 2111111"/>
    <w:link w:val="Heading211111"/>
    <w:qFormat/>
    <w:pPr>
      <w:widowControl/>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1">
    <w:name w:val="Колонтитул1"/>
    <w:link w:val="Style10"/>
    <w:qFormat/>
    <w:pPr>
      <w:widowControl/>
      <w:bidi w:val="0"/>
      <w:spacing w:lineRule="auto" w:line="240" w:before="0" w:after="0"/>
      <w:ind w:hanging="0" w:left="0" w:right="0"/>
      <w:jc w:val="left"/>
    </w:pPr>
    <w:rPr>
      <w:rFonts w:ascii="XO Thames" w:hAnsi="XO Thames" w:eastAsia="Tahoma" w:cs="Lohit Devanagari"/>
      <w:color w:val="000000"/>
      <w:spacing w:val="0"/>
      <w:kern w:val="0"/>
      <w:sz w:val="20"/>
      <w:szCs w:val="20"/>
      <w:lang w:val="ru-RU" w:eastAsia="zh-CN" w:bidi="hi-IN"/>
    </w:rPr>
  </w:style>
  <w:style w:type="paragraph" w:styleId="1111111">
    <w:name w:val="Указатель111111"/>
    <w:basedOn w:val="Normal"/>
    <w:link w:val="11111"/>
    <w:qFormat/>
    <w:pPr/>
    <w:rPr/>
  </w:style>
  <w:style w:type="paragraph" w:styleId="Contents92">
    <w:name w:val="Contents 92"/>
    <w:link w:val="Contents9"/>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4111111">
    <w:name w:val="Heading 4111111"/>
    <w:link w:val="Heading411111"/>
    <w:qFormat/>
    <w:pPr>
      <w:widowControl/>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Footnote211">
    <w:name w:val="Footnote211"/>
    <w:basedOn w:val="Normal"/>
    <w:link w:val="Footnote21"/>
    <w:qFormat/>
    <w:pPr/>
    <w:rPr/>
  </w:style>
  <w:style w:type="paragraph" w:styleId="Header11">
    <w:name w:val="Header11"/>
    <w:basedOn w:val="111112"/>
    <w:link w:val="Header1"/>
    <w:qFormat/>
    <w:pPr/>
    <w:rPr>
      <w:rFonts w:ascii="XO Thames" w:hAnsi="XO Thames"/>
      <w:color w:val="000000"/>
      <w:spacing w:val="0"/>
      <w:sz w:val="20"/>
    </w:rPr>
  </w:style>
  <w:style w:type="paragraph" w:styleId="Contents12">
    <w:name w:val="Contents 12"/>
    <w:link w:val="Contents1"/>
    <w:qFormat/>
    <w:pPr>
      <w:widowControl/>
      <w:bidi w:val="0"/>
      <w:spacing w:lineRule="auto" w:line="240" w:before="0" w:after="0"/>
      <w:ind w:hanging="0" w:left="0" w:right="0"/>
      <w:jc w:val="left"/>
    </w:pPr>
    <w:rPr>
      <w:rFonts w:ascii="Times New Roman" w:hAnsi="Times New Roman" w:eastAsia="Tahoma" w:cs="Lohit Devanagari"/>
      <w:b w:val="false"/>
      <w:color w:val="000000"/>
      <w:spacing w:val="0"/>
      <w:kern w:val="0"/>
      <w:sz w:val="28"/>
      <w:szCs w:val="20"/>
      <w:lang w:val="ru-RU" w:eastAsia="zh-CN" w:bidi="hi-IN"/>
    </w:rPr>
  </w:style>
  <w:style w:type="paragraph" w:styleId="FootnoteSymbol">
    <w:name w:val="Footnote Symbol"/>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EndnoteSymbol11">
    <w:name w:val="Endnote Symbol11"/>
    <w:link w:val="EndnoteSymbol1"/>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Heading113111">
    <w:name w:val="Heading 113111"/>
    <w:link w:val="Heading11311"/>
    <w:qFormat/>
    <w:pPr>
      <w:widowControl/>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Header12111">
    <w:name w:val="Header12111"/>
    <w:basedOn w:val="111112"/>
    <w:link w:val="Header1211"/>
    <w:qFormat/>
    <w:pPr/>
    <w:rPr/>
  </w:style>
  <w:style w:type="paragraph" w:styleId="12">
    <w:name w:val="Символ концевой сноски1"/>
    <w:link w:val="Style9"/>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Contents821111">
    <w:name w:val="Contents 821111"/>
    <w:link w:val="Contents821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31111">
    <w:name w:val="Heading 31111"/>
    <w:link w:val="Heading3111"/>
    <w:qFormat/>
    <w:pPr>
      <w:widowControl/>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IndexHeading12111">
    <w:name w:val="Index Heading12111"/>
    <w:basedOn w:val="1111112"/>
    <w:link w:val="IndexHeading1211"/>
    <w:qFormat/>
    <w:pPr/>
    <w:rPr>
      <w:b/>
      <w:sz w:val="32"/>
    </w:rPr>
  </w:style>
  <w:style w:type="paragraph" w:styleId="Heading51111">
    <w:name w:val="Heading 51111"/>
    <w:link w:val="Heading5111"/>
    <w:qFormat/>
    <w:pPr>
      <w:widowControl/>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Internetlink11111">
    <w:name w:val="Internet link11111"/>
    <w:link w:val="Internetlink1111"/>
    <w:qFormat/>
    <w:pPr>
      <w:widowControl/>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Contents721111">
    <w:name w:val="Contents 721111"/>
    <w:link w:val="Contents721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Footer11">
    <w:name w:val="Footer11"/>
    <w:basedOn w:val="111112"/>
    <w:link w:val="Footer1"/>
    <w:qFormat/>
    <w:pPr/>
    <w:rPr>
      <w:rFonts w:ascii="XO Thames" w:hAnsi="XO Thames"/>
      <w:color w:val="000000"/>
      <w:spacing w:val="0"/>
      <w:sz w:val="20"/>
    </w:rPr>
  </w:style>
  <w:style w:type="paragraph" w:styleId="Footnote21111">
    <w:name w:val="Footnote21111"/>
    <w:basedOn w:val="Normal"/>
    <w:link w:val="Footnote2111"/>
    <w:qFormat/>
    <w:pPr/>
    <w:rPr/>
  </w:style>
  <w:style w:type="paragraph" w:styleId="Footer11111">
    <w:name w:val="Footer11111"/>
    <w:basedOn w:val="111112"/>
    <w:link w:val="Footer1111"/>
    <w:qFormat/>
    <w:pPr/>
    <w:rPr/>
  </w:style>
  <w:style w:type="paragraph" w:styleId="TOC3">
    <w:name w:val="TOC 3"/>
    <w:next w:val="Normal"/>
    <w:uiPriority w:val="39"/>
    <w:pPr>
      <w:widowControl/>
      <w:bidi w:val="0"/>
      <w:spacing w:lineRule="auto" w:line="240" w:before="0" w:after="0"/>
      <w:ind w:hanging="0" w:left="400" w:right="0"/>
      <w:jc w:val="left"/>
    </w:pPr>
    <w:rPr>
      <w:rFonts w:ascii="Times New Roman" w:hAnsi="Times New Roman" w:eastAsia="Tahoma" w:cs="Lohit Devanagari"/>
      <w:color w:val="000000"/>
      <w:spacing w:val="0"/>
      <w:kern w:val="0"/>
      <w:sz w:val="28"/>
      <w:szCs w:val="20"/>
      <w:lang w:val="ru-RU" w:eastAsia="zh-CN" w:bidi="hi-IN"/>
    </w:rPr>
  </w:style>
  <w:style w:type="paragraph" w:styleId="1114">
    <w:name w:val="Символ сноски111"/>
    <w:link w:val="112"/>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Annotationsubject1">
    <w:name w:val="annotation subject1"/>
    <w:basedOn w:val="Annotationtext1"/>
    <w:next w:val="Annotationtext1"/>
    <w:link w:val="Annotationsubject"/>
    <w:qFormat/>
    <w:pPr/>
    <w:rPr>
      <w:b/>
    </w:rPr>
  </w:style>
  <w:style w:type="paragraph" w:styleId="Header">
    <w:name w:val="Header"/>
    <w:basedOn w:val="111112"/>
    <w:pPr/>
    <w:rPr/>
  </w:style>
  <w:style w:type="paragraph" w:styleId="Contents5211">
    <w:name w:val="Contents 5211"/>
    <w:link w:val="Contents52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42">
    <w:name w:val="Contents 42"/>
    <w:link w:val="Contents4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3">
    <w:name w:val="Символ сноски1"/>
    <w:link w:val="Style11"/>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Internetlink111">
    <w:name w:val="Internet link111"/>
    <w:link w:val="Internetlink11"/>
    <w:qFormat/>
    <w:pPr>
      <w:widowControl/>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Subtitle11">
    <w:name w:val="Subtitle11"/>
    <w:link w:val="Subtitle1"/>
    <w:qFormat/>
    <w:pPr>
      <w:widowControl/>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Subtitle211">
    <w:name w:val="Subtitle211"/>
    <w:link w:val="Subtitle21"/>
    <w:qFormat/>
    <w:pPr>
      <w:widowControl/>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Footnote111111">
    <w:name w:val="Footnote111111"/>
    <w:link w:val="Footnote11111"/>
    <w:qFormat/>
    <w:pPr>
      <w:widowControl/>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Heading5121111">
    <w:name w:val="Heading 5121111"/>
    <w:link w:val="Heading512111"/>
    <w:qFormat/>
    <w:pPr>
      <w:widowControl/>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Internetlink211">
    <w:name w:val="Internet link211"/>
    <w:link w:val="Internetlink21"/>
    <w:qFormat/>
    <w:pPr>
      <w:widowControl/>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Contents121111">
    <w:name w:val="Contents 121111"/>
    <w:link w:val="Contents12111"/>
    <w:qFormat/>
    <w:pPr>
      <w:widowControl/>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14">
    <w:name w:val="Содержимое врезки1"/>
    <w:basedOn w:val="Normal"/>
    <w:link w:val="Style12"/>
    <w:qFormat/>
    <w:pPr/>
    <w:rPr/>
  </w:style>
  <w:style w:type="paragraph" w:styleId="15">
    <w:name w:val="Ссылка указателя1"/>
    <w:link w:val="Style13"/>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IndexHeading1311">
    <w:name w:val="Index Heading1311"/>
    <w:basedOn w:val="1111112"/>
    <w:link w:val="IndexHeading131"/>
    <w:qFormat/>
    <w:pPr/>
    <w:rPr>
      <w:b/>
      <w:sz w:val="32"/>
    </w:rPr>
  </w:style>
  <w:style w:type="paragraph" w:styleId="FootnoteSymbol11">
    <w:name w:val="Footnote Symbol11"/>
    <w:link w:val="FootnoteSymbol1"/>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Title111111">
    <w:name w:val="Title111111"/>
    <w:link w:val="Title11111"/>
    <w:qFormat/>
    <w:pPr>
      <w:widowControl/>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Caption11">
    <w:name w:val="Caption11"/>
    <w:link w:val="Caption1"/>
    <w:qFormat/>
    <w:pPr>
      <w:widowControl/>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Contents921111">
    <w:name w:val="Contents 921111"/>
    <w:link w:val="Contents921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5211">
    <w:name w:val="Heading 5211"/>
    <w:link w:val="Heading521"/>
    <w:qFormat/>
    <w:pPr>
      <w:widowControl/>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Contents511111">
    <w:name w:val="Contents 511111"/>
    <w:link w:val="Contents511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811111">
    <w:name w:val="Contents 811111"/>
    <w:link w:val="Contents811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221111">
    <w:name w:val="Heading 221111"/>
    <w:link w:val="Heading22111"/>
    <w:qFormat/>
    <w:pPr>
      <w:widowControl/>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Caption3">
    <w:name w:val="caption3"/>
    <w:basedOn w:val="Normal"/>
    <w:link w:val="Caption2"/>
    <w:qFormat/>
    <w:pPr>
      <w:spacing w:before="120" w:after="120"/>
    </w:pPr>
    <w:rPr>
      <w:i/>
    </w:rPr>
  </w:style>
  <w:style w:type="paragraph" w:styleId="1115">
    <w:name w:val="Колонтитул111"/>
    <w:link w:val="113"/>
    <w:qFormat/>
    <w:pPr>
      <w:widowControl/>
      <w:bidi w:val="0"/>
      <w:spacing w:lineRule="auto" w:line="240" w:before="0" w:after="0"/>
      <w:ind w:hanging="0" w:left="0" w:right="0"/>
      <w:jc w:val="left"/>
    </w:pPr>
    <w:rPr>
      <w:rFonts w:ascii="XO Thames" w:hAnsi="XO Thames" w:eastAsia="Tahoma" w:cs="Lohit Devanagari"/>
      <w:color w:val="000000"/>
      <w:spacing w:val="0"/>
      <w:kern w:val="0"/>
      <w:sz w:val="20"/>
      <w:szCs w:val="20"/>
      <w:lang w:val="ru-RU" w:eastAsia="zh-CN" w:bidi="hi-IN"/>
    </w:rPr>
  </w:style>
  <w:style w:type="paragraph" w:styleId="Contents421111">
    <w:name w:val="Contents 421111"/>
    <w:link w:val="Contents421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11112">
    <w:name w:val="Колонтитул11111"/>
    <w:link w:val="1111"/>
    <w:qFormat/>
    <w:pPr>
      <w:widowControl/>
      <w:bidi w:val="0"/>
      <w:spacing w:lineRule="auto" w:line="240" w:before="0" w:after="0"/>
      <w:ind w:hanging="0" w:left="0" w:right="0"/>
      <w:jc w:val="left"/>
    </w:pPr>
    <w:rPr>
      <w:rFonts w:ascii="XO Thames" w:hAnsi="XO Thames" w:eastAsia="Tahoma" w:cs="Lohit Devanagari"/>
      <w:color w:val="000000"/>
      <w:spacing w:val="0"/>
      <w:kern w:val="0"/>
      <w:sz w:val="20"/>
      <w:szCs w:val="20"/>
      <w:lang w:val="ru-RU" w:eastAsia="zh-CN" w:bidi="hi-IN"/>
    </w:rPr>
  </w:style>
  <w:style w:type="paragraph" w:styleId="Textbody11">
    <w:name w:val="Text body11"/>
    <w:link w:val="Textbody1"/>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DefaultParagraphFont1">
    <w:name w:val="Default Paragraph Font1"/>
    <w:link w:val="DefaultParagraphFont"/>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Heading3211">
    <w:name w:val="Heading 3211"/>
    <w:link w:val="Heading321"/>
    <w:qFormat/>
    <w:pPr>
      <w:widowControl/>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Internetlink1">
    <w:name w:val="Internet link1"/>
    <w:qFormat/>
    <w:pPr>
      <w:widowControl/>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Footnote2">
    <w:name w:val="Footnote2"/>
    <w:basedOn w:val="Normal"/>
    <w:link w:val="Footnote"/>
    <w:qFormat/>
    <w:pPr/>
    <w:rPr/>
  </w:style>
  <w:style w:type="paragraph" w:styleId="TOC1">
    <w:name w:val="TOC 1"/>
    <w:next w:val="Normal"/>
    <w:uiPriority w:val="39"/>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Contents6211">
    <w:name w:val="Contents 6211"/>
    <w:link w:val="Contents62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Title1211">
    <w:name w:val="Title1211"/>
    <w:link w:val="Title121"/>
    <w:qFormat/>
    <w:pPr>
      <w:widowControl/>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1116">
    <w:name w:val="Символ концевой сноски111"/>
    <w:link w:val="114"/>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Subtitle1111">
    <w:name w:val="Subtitle1111"/>
    <w:link w:val="Subtitle111"/>
    <w:qFormat/>
    <w:pPr>
      <w:widowControl/>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ContentsHeading21">
    <w:name w:val="Contents Heading21"/>
    <w:basedOn w:val="IndexHeading111"/>
    <w:link w:val="ContentsHeading2"/>
    <w:qFormat/>
    <w:pPr/>
    <w:rPr/>
  </w:style>
  <w:style w:type="paragraph" w:styleId="Heading112">
    <w:name w:val="Heading 112"/>
    <w:link w:val="Heading111"/>
    <w:qFormat/>
    <w:pPr>
      <w:widowControl/>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Contents221111">
    <w:name w:val="Contents 221111"/>
    <w:link w:val="Contents221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EndnoteSymbol1111">
    <w:name w:val="Endnote Symbol1111"/>
    <w:link w:val="EndnoteSymbol111"/>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ContentsHeading11">
    <w:name w:val="Contents Heading11"/>
    <w:basedOn w:val="IndexHeading21"/>
    <w:link w:val="ContentsHeading1"/>
    <w:qFormat/>
    <w:pPr/>
    <w:rPr>
      <w:rFonts w:ascii="Open Sans" w:hAnsi="Open Sans"/>
      <w:b/>
      <w:sz w:val="32"/>
    </w:rPr>
  </w:style>
  <w:style w:type="paragraph" w:styleId="1117">
    <w:name w:val="Указатель111"/>
    <w:basedOn w:val="Normal"/>
    <w:link w:val="115"/>
    <w:qFormat/>
    <w:pPr/>
    <w:rPr/>
  </w:style>
  <w:style w:type="paragraph" w:styleId="Heading1121111">
    <w:name w:val="Heading 1121111"/>
    <w:link w:val="Heading112111"/>
    <w:qFormat/>
    <w:pPr>
      <w:widowControl/>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IndexHeading">
    <w:name w:val="Index Heading"/>
    <w:basedOn w:val="Style16"/>
    <w:pPr/>
    <w:rPr/>
  </w:style>
  <w:style w:type="paragraph" w:styleId="TOCHeading">
    <w:name w:val="TOC Heading"/>
    <w:basedOn w:val="Indexheading3"/>
    <w:qFormat/>
    <w:pPr/>
    <w:rPr/>
  </w:style>
  <w:style w:type="paragraph" w:styleId="Heading313111">
    <w:name w:val="Heading 313111"/>
    <w:link w:val="Heading31311"/>
    <w:qFormat/>
    <w:pPr>
      <w:widowControl/>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Contents31111">
    <w:name w:val="Contents 31111"/>
    <w:link w:val="Contents311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Caption11111">
    <w:name w:val="Caption11111"/>
    <w:link w:val="Caption1111"/>
    <w:qFormat/>
    <w:pPr>
      <w:widowControl/>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Contents731">
    <w:name w:val="Contents 731"/>
    <w:link w:val="Contents73"/>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Title21">
    <w:name w:val="Title21"/>
    <w:link w:val="Title2"/>
    <w:qFormat/>
    <w:pPr>
      <w:widowControl/>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211111">
    <w:name w:val="Колонтитул21111"/>
    <w:basedOn w:val="Normal"/>
    <w:link w:val="2111"/>
    <w:qFormat/>
    <w:pPr/>
    <w:rPr/>
  </w:style>
  <w:style w:type="paragraph" w:styleId="Contents1111">
    <w:name w:val="Contents 1111"/>
    <w:link w:val="Contents11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TOC9">
    <w:name w:val="TOC 9"/>
    <w:next w:val="Normal"/>
    <w:uiPriority w:val="39"/>
    <w:pPr>
      <w:widowControl/>
      <w:bidi w:val="0"/>
      <w:spacing w:lineRule="auto" w:line="240" w:before="0" w:after="0"/>
      <w:ind w:hanging="0" w:left="1600" w:right="0"/>
      <w:jc w:val="left"/>
    </w:pPr>
    <w:rPr>
      <w:rFonts w:ascii="XO Thames" w:hAnsi="XO Thames" w:eastAsia="Tahoma" w:cs="Lohit Devanagari"/>
      <w:color w:val="000000"/>
      <w:spacing w:val="0"/>
      <w:kern w:val="0"/>
      <w:sz w:val="28"/>
      <w:szCs w:val="20"/>
      <w:lang w:val="ru-RU" w:eastAsia="zh-CN" w:bidi="hi-IN"/>
    </w:rPr>
  </w:style>
  <w:style w:type="paragraph" w:styleId="Contents4211">
    <w:name w:val="Contents 4211"/>
    <w:link w:val="Contents42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List2111">
    <w:name w:val="List2111"/>
    <w:basedOn w:val="Textbody1111"/>
    <w:link w:val="List211"/>
    <w:qFormat/>
    <w:pPr/>
    <w:rPr/>
  </w:style>
  <w:style w:type="paragraph" w:styleId="IndexHeading21">
    <w:name w:val="Index Heading21"/>
    <w:basedOn w:val="1111112"/>
    <w:link w:val="IndexHeading2"/>
    <w:qFormat/>
    <w:pPr/>
    <w:rPr>
      <w:rFonts w:ascii="Open Sans" w:hAnsi="Open Sans"/>
      <w:b/>
      <w:sz w:val="32"/>
    </w:rPr>
  </w:style>
  <w:style w:type="paragraph" w:styleId="Contents63111">
    <w:name w:val="Contents 63111"/>
    <w:link w:val="Contents63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ListParagraph1">
    <w:name w:val="List Paragraph1"/>
    <w:basedOn w:val="Normal"/>
    <w:link w:val="ListParagraph"/>
    <w:qFormat/>
    <w:pPr>
      <w:spacing w:before="0" w:after="0"/>
      <w:ind w:hanging="0" w:left="720"/>
      <w:contextualSpacing/>
    </w:pPr>
    <w:rPr/>
  </w:style>
  <w:style w:type="paragraph" w:styleId="Contents431">
    <w:name w:val="Contents 431"/>
    <w:link w:val="Contents43"/>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11113">
    <w:name w:val="Символ сноски11111"/>
    <w:link w:val="11112"/>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Contents311">
    <w:name w:val="Contents 311"/>
    <w:link w:val="Contents31"/>
    <w:qFormat/>
    <w:pPr>
      <w:widowControl/>
      <w:bidi w:val="0"/>
      <w:spacing w:lineRule="auto" w:line="240" w:before="0" w:after="0"/>
      <w:ind w:hanging="0" w:left="0" w:right="0"/>
      <w:jc w:val="left"/>
    </w:pPr>
    <w:rPr>
      <w:rFonts w:ascii="Times New Roman" w:hAnsi="Times New Roman" w:eastAsia="Tahoma" w:cs="Lohit Devanagari"/>
      <w:b w:val="false"/>
      <w:color w:val="000000"/>
      <w:spacing w:val="0"/>
      <w:kern w:val="0"/>
      <w:sz w:val="28"/>
      <w:szCs w:val="20"/>
      <w:lang w:val="ru-RU" w:eastAsia="zh-CN" w:bidi="hi-IN"/>
    </w:rPr>
  </w:style>
  <w:style w:type="paragraph" w:styleId="TOC8">
    <w:name w:val="TOC 8"/>
    <w:next w:val="Normal"/>
    <w:uiPriority w:val="39"/>
    <w:pPr>
      <w:widowControl/>
      <w:bidi w:val="0"/>
      <w:spacing w:lineRule="auto" w:line="240" w:before="0" w:after="0"/>
      <w:ind w:hanging="0" w:left="1400" w:right="0"/>
      <w:jc w:val="left"/>
    </w:pPr>
    <w:rPr>
      <w:rFonts w:ascii="XO Thames" w:hAnsi="XO Thames" w:eastAsia="Tahoma" w:cs="Lohit Devanagari"/>
      <w:color w:val="000000"/>
      <w:spacing w:val="0"/>
      <w:kern w:val="0"/>
      <w:sz w:val="28"/>
      <w:szCs w:val="20"/>
      <w:lang w:val="ru-RU" w:eastAsia="zh-CN" w:bidi="hi-IN"/>
    </w:rPr>
  </w:style>
  <w:style w:type="paragraph" w:styleId="Contents9111">
    <w:name w:val="Contents 9111"/>
    <w:link w:val="Contents9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111112">
    <w:name w:val="Заголовок111111"/>
    <w:basedOn w:val="Normal"/>
    <w:next w:val="BodyText"/>
    <w:link w:val="111111"/>
    <w:qFormat/>
    <w:pPr>
      <w:keepNext w:val="true"/>
      <w:spacing w:before="240" w:after="120"/>
    </w:pPr>
    <w:rPr>
      <w:rFonts w:ascii="Open Sans" w:hAnsi="Open Sans"/>
      <w:sz w:val="28"/>
    </w:rPr>
  </w:style>
  <w:style w:type="paragraph" w:styleId="121111">
    <w:name w:val="Заголовок12111"/>
    <w:basedOn w:val="Normal"/>
    <w:next w:val="BodyText"/>
    <w:link w:val="1211"/>
    <w:qFormat/>
    <w:pPr>
      <w:keepNext w:val="true"/>
      <w:spacing w:before="240" w:after="120"/>
    </w:pPr>
    <w:rPr>
      <w:rFonts w:ascii="Open Sans" w:hAnsi="Open Sans"/>
      <w:sz w:val="28"/>
    </w:rPr>
  </w:style>
  <w:style w:type="paragraph" w:styleId="Footer">
    <w:name w:val="Footer"/>
    <w:basedOn w:val="111112"/>
    <w:pPr/>
    <w:rPr/>
  </w:style>
  <w:style w:type="paragraph" w:styleId="Contents72">
    <w:name w:val="Contents 72"/>
    <w:link w:val="Contents7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List11111">
    <w:name w:val="List11111"/>
    <w:basedOn w:val="Textbody2111"/>
    <w:link w:val="List1111"/>
    <w:qFormat/>
    <w:pPr/>
    <w:rPr/>
  </w:style>
  <w:style w:type="paragraph" w:styleId="Heading211">
    <w:name w:val="Heading 211"/>
    <w:link w:val="Heading21"/>
    <w:qFormat/>
    <w:pPr>
      <w:widowControl/>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1118">
    <w:name w:val="Содержимое врезки111"/>
    <w:basedOn w:val="Normal"/>
    <w:link w:val="116"/>
    <w:qFormat/>
    <w:pPr/>
    <w:rPr/>
  </w:style>
  <w:style w:type="paragraph" w:styleId="List13">
    <w:name w:val="List13"/>
    <w:basedOn w:val="Textbody11"/>
    <w:link w:val="List11"/>
    <w:qFormat/>
    <w:pPr/>
    <w:rPr/>
  </w:style>
  <w:style w:type="paragraph" w:styleId="211112">
    <w:name w:val="Содержимое врезки21111"/>
    <w:basedOn w:val="Normal"/>
    <w:link w:val="21111"/>
    <w:qFormat/>
    <w:pPr/>
    <w:rPr/>
  </w:style>
  <w:style w:type="paragraph" w:styleId="Heading512">
    <w:name w:val="Heading 512"/>
    <w:link w:val="Heading511"/>
    <w:qFormat/>
    <w:pPr>
      <w:widowControl/>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Textbody1111">
    <w:name w:val="Text body1111"/>
    <w:link w:val="Textbody111"/>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Internetlink21111">
    <w:name w:val="Internet link21111"/>
    <w:link w:val="Internetlink2111"/>
    <w:qFormat/>
    <w:pPr>
      <w:widowControl/>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Heading513111">
    <w:name w:val="Heading 513111"/>
    <w:link w:val="Heading51311"/>
    <w:qFormat/>
    <w:pPr>
      <w:widowControl/>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TOC5">
    <w:name w:val="TOC 5"/>
    <w:next w:val="Normal"/>
    <w:uiPriority w:val="39"/>
    <w:pPr>
      <w:widowControl/>
      <w:bidi w:val="0"/>
      <w:spacing w:lineRule="auto" w:line="240" w:before="0" w:after="0"/>
      <w:ind w:hanging="0" w:left="800" w:right="0"/>
      <w:jc w:val="left"/>
    </w:pPr>
    <w:rPr>
      <w:rFonts w:ascii="XO Thames" w:hAnsi="XO Thames" w:eastAsia="Tahoma" w:cs="Lohit Devanagari"/>
      <w:color w:val="000000"/>
      <w:spacing w:val="0"/>
      <w:kern w:val="0"/>
      <w:sz w:val="28"/>
      <w:szCs w:val="20"/>
      <w:lang w:val="ru-RU" w:eastAsia="zh-CN" w:bidi="hi-IN"/>
    </w:rPr>
  </w:style>
  <w:style w:type="paragraph" w:styleId="Contents43111">
    <w:name w:val="Contents 43111"/>
    <w:link w:val="Contents43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EndnoteSymbol21">
    <w:name w:val="Endnote Symbol21"/>
    <w:link w:val="EndnoteSymbol2"/>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Caption2111">
    <w:name w:val="Caption2111"/>
    <w:link w:val="Caption211"/>
    <w:qFormat/>
    <w:pPr>
      <w:widowControl/>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111114">
    <w:name w:val="Символ концевой сноски11111"/>
    <w:link w:val="11113"/>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Contents111111">
    <w:name w:val="Contents 111111"/>
    <w:link w:val="Contents1111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Contents321111">
    <w:name w:val="Contents 321111"/>
    <w:link w:val="Contents321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aption121">
    <w:name w:val="Caption121"/>
    <w:link w:val="Caption12"/>
    <w:qFormat/>
    <w:pPr>
      <w:widowControl/>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Heading11111">
    <w:name w:val="Heading 11111"/>
    <w:link w:val="Heading1111"/>
    <w:qFormat/>
    <w:pPr>
      <w:widowControl/>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Contents62">
    <w:name w:val="Contents 62"/>
    <w:link w:val="Contents6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3121111">
    <w:name w:val="Heading 3121111"/>
    <w:link w:val="Heading312111"/>
    <w:qFormat/>
    <w:pPr>
      <w:widowControl/>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Contents22">
    <w:name w:val="Contents 22"/>
    <w:link w:val="Contents21"/>
    <w:qFormat/>
    <w:pPr>
      <w:widowControl/>
      <w:bidi w:val="0"/>
      <w:spacing w:lineRule="auto" w:line="240" w:before="0" w:after="0"/>
      <w:ind w:hanging="0" w:left="0" w:right="0"/>
      <w:jc w:val="left"/>
    </w:pPr>
    <w:rPr>
      <w:rFonts w:ascii="Times New Roman" w:hAnsi="Times New Roman" w:eastAsia="Tahoma" w:cs="Lohit Devanagari"/>
      <w:b w:val="false"/>
      <w:color w:val="000000"/>
      <w:spacing w:val="0"/>
      <w:kern w:val="0"/>
      <w:sz w:val="28"/>
      <w:szCs w:val="20"/>
      <w:lang w:val="ru-RU" w:eastAsia="zh-CN" w:bidi="hi-IN"/>
    </w:rPr>
  </w:style>
  <w:style w:type="paragraph" w:styleId="Contents9211">
    <w:name w:val="Contents 9211"/>
    <w:link w:val="Contents92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Title111">
    <w:name w:val="Title111"/>
    <w:link w:val="Title11"/>
    <w:qFormat/>
    <w:pPr>
      <w:widowControl/>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111115">
    <w:name w:val="Содержимое врезки11111"/>
    <w:basedOn w:val="Normal"/>
    <w:link w:val="11114"/>
    <w:qFormat/>
    <w:pPr/>
    <w:rPr/>
  </w:style>
  <w:style w:type="paragraph" w:styleId="Contents73111">
    <w:name w:val="Contents 73111"/>
    <w:link w:val="Contents73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312">
    <w:name w:val="Heading 312"/>
    <w:link w:val="Heading311"/>
    <w:qFormat/>
    <w:pPr>
      <w:widowControl/>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Header211">
    <w:name w:val="Header211"/>
    <w:basedOn w:val="111112"/>
    <w:link w:val="Header21"/>
    <w:qFormat/>
    <w:pPr/>
    <w:rPr/>
  </w:style>
  <w:style w:type="paragraph" w:styleId="Heading1211">
    <w:name w:val="Heading 1211"/>
    <w:link w:val="Heading121"/>
    <w:qFormat/>
    <w:pPr>
      <w:widowControl/>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Contents321">
    <w:name w:val="Contents 321"/>
    <w:link w:val="Contents32"/>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8"/>
      <w:szCs w:val="20"/>
      <w:lang w:val="ru-RU" w:eastAsia="zh-CN" w:bidi="hi-IN"/>
    </w:rPr>
  </w:style>
  <w:style w:type="paragraph" w:styleId="ContentsHeading1111">
    <w:name w:val="Contents Heading1111"/>
    <w:basedOn w:val="IndexHeading1311"/>
    <w:link w:val="ContentsHeading111"/>
    <w:qFormat/>
    <w:pPr/>
    <w:rPr/>
  </w:style>
  <w:style w:type="paragraph" w:styleId="Subtitle">
    <w:name w:val="Subtitle"/>
    <w:next w:val="Normal"/>
    <w:uiPriority w:val="11"/>
    <w:qFormat/>
    <w:pPr>
      <w:widowControl/>
      <w:bidi w:val="0"/>
      <w:spacing w:lineRule="auto" w:line="240" w:before="0" w:after="0"/>
      <w:ind w:hanging="0" w:left="0" w:right="0"/>
      <w:jc w:val="both"/>
    </w:pPr>
    <w:rPr>
      <w:rFonts w:ascii="XO Thames" w:hAnsi="XO Thames" w:eastAsia="Tahoma" w:cs="Lohit Devanagari"/>
      <w:i/>
      <w:color w:val="000000"/>
      <w:spacing w:val="0"/>
      <w:kern w:val="0"/>
      <w:sz w:val="24"/>
      <w:szCs w:val="20"/>
      <w:lang w:val="ru-RU" w:eastAsia="zh-CN" w:bidi="hi-IN"/>
    </w:rPr>
  </w:style>
  <w:style w:type="paragraph" w:styleId="Annotationreference1">
    <w:name w:val="annotation reference1"/>
    <w:basedOn w:val="DefaultParagraphFont1"/>
    <w:link w:val="Annotationreference"/>
    <w:qFormat/>
    <w:pPr/>
    <w:rPr>
      <w:sz w:val="16"/>
    </w:rPr>
  </w:style>
  <w:style w:type="paragraph" w:styleId="BalloonText1">
    <w:name w:val="Balloon Text1"/>
    <w:basedOn w:val="Normal"/>
    <w:link w:val="BalloonText"/>
    <w:qFormat/>
    <w:pPr/>
    <w:rPr>
      <w:rFonts w:ascii="Segoe UI" w:hAnsi="Segoe UI"/>
      <w:sz w:val="18"/>
    </w:rPr>
  </w:style>
  <w:style w:type="paragraph" w:styleId="111116">
    <w:name w:val="Ссылка указателя11111"/>
    <w:link w:val="11115"/>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lang w:val="ru-RU" w:eastAsia="zh-CN" w:bidi="hi-IN"/>
    </w:rPr>
  </w:style>
  <w:style w:type="paragraph" w:styleId="121112">
    <w:name w:val="Указатель12111"/>
    <w:basedOn w:val="Normal"/>
    <w:link w:val="12111"/>
    <w:qFormat/>
    <w:pPr/>
    <w:rPr/>
  </w:style>
  <w:style w:type="paragraph" w:styleId="Title">
    <w:name w:val="Title"/>
    <w:next w:val="BodyText"/>
    <w:uiPriority w:val="10"/>
    <w:qFormat/>
    <w:pPr>
      <w:widowControl/>
      <w:bidi w:val="0"/>
      <w:spacing w:lineRule="auto" w:line="240" w:before="567" w:after="567"/>
      <w:ind w:hanging="0" w:left="0" w:right="0"/>
      <w:jc w:val="center"/>
    </w:pPr>
    <w:rPr>
      <w:rFonts w:ascii="XO Thames" w:hAnsi="XO Thames" w:eastAsia="Tahoma" w:cs="Lohit Devanagari"/>
      <w:b/>
      <w:caps/>
      <w:color w:val="000000"/>
      <w:spacing w:val="0"/>
      <w:kern w:val="0"/>
      <w:sz w:val="40"/>
      <w:szCs w:val="20"/>
      <w:lang w:val="ru-RU" w:eastAsia="zh-CN" w:bidi="hi-IN"/>
    </w:rPr>
  </w:style>
  <w:style w:type="paragraph" w:styleId="Contents8111">
    <w:name w:val="Contents 8111"/>
    <w:link w:val="Contents8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Annotationtext1">
    <w:name w:val="annotation text1"/>
    <w:basedOn w:val="Normal"/>
    <w:link w:val="Annotationtext"/>
    <w:qFormat/>
    <w:pPr/>
    <w:rPr>
      <w:sz w:val="20"/>
    </w:rPr>
  </w:style>
  <w:style w:type="paragraph" w:styleId="Heading412">
    <w:name w:val="Heading 412"/>
    <w:link w:val="Heading411"/>
    <w:qFormat/>
    <w:pPr>
      <w:widowControl/>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FootnoteSymbol1111">
    <w:name w:val="Footnote Symbol1111"/>
    <w:link w:val="FootnoteSymbol111"/>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Contents7211">
    <w:name w:val="Contents 7211"/>
    <w:link w:val="Contents72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5111">
    <w:name w:val="Contents 5111"/>
    <w:link w:val="Contents511"/>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2211">
    <w:name w:val="Heading 2211"/>
    <w:link w:val="Heading221"/>
    <w:qFormat/>
    <w:pPr>
      <w:widowControl/>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Contents631">
    <w:name w:val="Contents 631"/>
    <w:link w:val="Contents63"/>
    <w:qFormat/>
    <w:pPr>
      <w:widowControl/>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er1111">
    <w:name w:val="Header1111"/>
    <w:basedOn w:val="111112"/>
    <w:link w:val="Header111"/>
    <w:qFormat/>
    <w:pPr/>
    <w:rPr/>
  </w:style>
  <w:style w:type="paragraph" w:styleId="Internetlink2">
    <w:name w:val="Internet link2"/>
    <w:link w:val="Internetlink"/>
    <w:qFormat/>
    <w:pPr>
      <w:widowControl/>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Footer2111">
    <w:name w:val="Footer2111"/>
    <w:basedOn w:val="111112"/>
    <w:link w:val="Footer211"/>
    <w:qFormat/>
    <w:pPr/>
    <w:rPr/>
  </w:style>
  <w:style w:type="paragraph" w:styleId="Heading41111">
    <w:name w:val="Heading 41111"/>
    <w:link w:val="Heading4111"/>
    <w:qFormat/>
    <w:pPr>
      <w:widowControl/>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FootnoteSymbol2111">
    <w:name w:val="Footnote Symbol2111"/>
    <w:link w:val="FootnoteSymbol211"/>
    <w:qFormat/>
    <w:pPr>
      <w:widowControl/>
      <w:bidi w:val="0"/>
      <w:spacing w:lineRule="auto" w:line="240" w:before="0" w:after="0"/>
      <w:ind w:hanging="0" w:left="0" w:right="0"/>
      <w:jc w:val="left"/>
    </w:pPr>
    <w:rPr>
      <w:rFonts w:ascii="XO Thames" w:hAnsi="XO Thames" w:eastAsia="Tahoma" w:cs="Lohit Devanagari"/>
      <w:color w:val="000000"/>
      <w:spacing w:val="0"/>
      <w:kern w:val="0"/>
      <w:sz w:val="24"/>
      <w:szCs w:val="20"/>
      <w:vertAlign w:val="superscript"/>
      <w:lang w:val="ru-RU" w:eastAsia="zh-CN" w:bidi="hi-IN"/>
    </w:rPr>
  </w:style>
  <w:style w:type="paragraph" w:styleId="Heading421111">
    <w:name w:val="Heading 421111"/>
    <w:link w:val="Heading42111"/>
    <w:qFormat/>
    <w:pPr>
      <w:widowControl/>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FootnoteText">
    <w:name w:val="Footnote Text"/>
    <w:basedOn w:val="Normal"/>
    <w:pPr/>
    <w:rPr/>
  </w:style>
  <w:style w:type="table" w:default="1" w:styleId="Style_2">
    <w:name w:val="Normal Table"/>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tileRect l="0" t="0" r="0" b="0"/>
        </a:gradFill>
        <a:gradFill>
          <a:gsLst>
            <a:gs pos="0">
              <a:schemeClr val="phClr">
                <a:shade val="51000"/>
              </a:schemeClr>
            </a:gs>
            <a:gs pos="80000">
              <a:schemeClr val="phClr">
                <a:shade val="93000"/>
              </a:schemeClr>
            </a:gs>
            <a:gs pos="100000">
              <a:schemeClr val="phClr">
                <a:shade val="94000"/>
              </a:schemeClr>
            </a:gs>
          </a:gsLst>
          <a:tileRect l="0" t="0" r="0" b="0"/>
        </a:gradFill>
      </a:fillStyleLst>
      <a:lnStyleLst>
        <a:ln w="9525">
          <a:prstDash val="solid"/>
        </a:ln>
        <a:ln w="25400">
          <a:prstDash val="solid"/>
        </a:ln>
        <a:ln w="38100">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tileRect l="0" t="0" r="0" b="0"/>
        </a:gradFill>
        <a:gradFill>
          <a:gsLst>
            <a:gs pos="0">
              <a:schemeClr val="phClr">
                <a:tint val="80000"/>
              </a:schemeClr>
            </a:gs>
            <a:gs pos="100000">
              <a:schemeClr val="phClr">
                <a:shade val="30000"/>
              </a:schemeClr>
            </a:gs>
          </a:gsLst>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197</TotalTime>
  <Application>LibreOffice/7.6.7.2$Linux_X86_64 LibreOffice_project/60$Build-2</Application>
  <AppVersion>15.0000</AppVersion>
  <Pages>29</Pages>
  <Words>8233</Words>
  <Characters>58406</Characters>
  <CharactersWithSpaces>66601</CharactersWithSpaces>
  <Paragraphs>486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2026-03-13T17:56:43Z</dcterms:modified>
  <cp:revision>24</cp:revision>
  <dc:subject/>
  <dc:title/>
</cp:coreProperties>
</file>